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温州市农村集体山塘水库用水权改革</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实施方案</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36"/>
          <w:szCs w:val="36"/>
          <w:highlight w:val="none"/>
          <w:lang w:val="en-US" w:eastAsia="zh-CN"/>
        </w:rPr>
      </w:pPr>
    </w:p>
    <w:p>
      <w:pPr>
        <w:pStyle w:val="14"/>
        <w:keepNext w:val="0"/>
        <w:keepLines w:val="0"/>
        <w:pageBreakBefore w:val="0"/>
        <w:numPr>
          <w:ilvl w:val="-1"/>
          <w:numId w:val="0"/>
        </w:numPr>
        <w:shd w:val="clear"/>
        <w:kinsoku/>
        <w:wordWrap/>
        <w:overflowPunct/>
        <w:topLinePunct w:val="0"/>
        <w:autoSpaceDE/>
        <w:autoSpaceDN/>
        <w:bidi w:val="0"/>
        <w:spacing w:before="251" w:beforeLines="80" w:after="0" w:line="560" w:lineRule="exact"/>
        <w:ind w:firstLine="641" w:firstLineChars="0"/>
        <w:jc w:val="left"/>
        <w:textAlignment w:val="auto"/>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党中央国务院和省委省政府关于实行水资源刚性约束制度、建立健全生态产品价值实现机制的决策部署，加快推进农村集体水库山塘水资源集约节约利用，积极拓展水生态产品价值实现路径，根据《中华人民共和国水法》《水利部 国家发展改革委 财政部关于推进用水权改革的指导意见》（水资管〔2022〕333号）《浙江省农村集体资产管理条例》</w:t>
      </w:r>
      <w:r>
        <w:rPr>
          <w:rFonts w:hint="eastAsia" w:eastAsia="仿宋_GB2312" w:cs="Times New Roman"/>
          <w:sz w:val="32"/>
          <w:szCs w:val="32"/>
          <w:highlight w:val="none"/>
          <w:lang w:val="en-US" w:eastAsia="zh-CN"/>
        </w:rPr>
        <w:t>《浙江省水利厅关于推进农村集体水库山塘用水权改革的意见》（浙水资</w:t>
      </w:r>
      <w:r>
        <w:rPr>
          <w:rFonts w:hint="eastAsia" w:ascii="方正隶书_GBK" w:hAnsi="方正隶书_GBK" w:eastAsia="方正隶书_GBK" w:cs="方正隶书_GBK"/>
          <w:sz w:val="32"/>
          <w:szCs w:val="32"/>
          <w:highlight w:val="none"/>
          <w:lang w:val="en-US" w:eastAsia="zh-CN"/>
        </w:rPr>
        <w:t>〔</w:t>
      </w:r>
      <w:r>
        <w:rPr>
          <w:rFonts w:hint="eastAsia" w:eastAsia="仿宋_GB2312" w:cs="Times New Roman"/>
          <w:sz w:val="32"/>
          <w:szCs w:val="32"/>
          <w:highlight w:val="none"/>
          <w:lang w:val="en-US" w:eastAsia="zh-CN"/>
        </w:rPr>
        <w:t>2025〕15号）</w:t>
      </w:r>
      <w:r>
        <w:rPr>
          <w:rFonts w:hint="default" w:ascii="Times New Roman" w:hAnsi="Times New Roman" w:eastAsia="仿宋_GB2312" w:cs="Times New Roman"/>
          <w:sz w:val="32"/>
          <w:szCs w:val="32"/>
          <w:highlight w:val="none"/>
          <w:lang w:val="en-US" w:eastAsia="zh-CN"/>
        </w:rPr>
        <w:t>等有关法律、法规和文件精神，决定在我市开展农村集体水库山塘用水权改革工作。</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64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一、总体目标</w:t>
      </w:r>
    </w:p>
    <w:p>
      <w:pPr>
        <w:pStyle w:val="14"/>
        <w:keepNext w:val="0"/>
        <w:keepLines w:val="0"/>
        <w:pageBreakBefore w:val="0"/>
        <w:numPr>
          <w:ilvl w:val="0"/>
          <w:numId w:val="0"/>
        </w:numPr>
        <w:shd w:val="clear"/>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b w:val="0"/>
          <w:kern w:val="2"/>
          <w:sz w:val="32"/>
          <w:szCs w:val="32"/>
          <w:highlight w:val="none"/>
          <w:lang w:val="en-US" w:eastAsia="zh-CN" w:bidi="ar-SA"/>
        </w:rPr>
        <w:t>针对农村集体经济组织的山塘及其修建管理的水库，</w:t>
      </w:r>
      <w:r>
        <w:rPr>
          <w:rFonts w:hint="default" w:ascii="Times New Roman" w:hAnsi="Times New Roman" w:eastAsia="仿宋_GB2312" w:cs="Times New Roman"/>
          <w:kern w:val="2"/>
          <w:sz w:val="32"/>
          <w:szCs w:val="32"/>
          <w:highlight w:val="none"/>
          <w:lang w:val="en-US" w:eastAsia="zh-CN" w:bidi="ar-SA"/>
        </w:rPr>
        <w:t>探索建立归属清晰、权责明确、流转顺畅、监管有效的用水权交易制度，发挥</w:t>
      </w:r>
      <w:r>
        <w:rPr>
          <w:rFonts w:hint="eastAsia" w:eastAsia="仿宋_GB2312" w:cs="Times New Roman"/>
          <w:kern w:val="2"/>
          <w:sz w:val="32"/>
          <w:szCs w:val="32"/>
          <w:highlight w:val="none"/>
          <w:lang w:val="en-US" w:eastAsia="zh-CN" w:bidi="ar-SA"/>
        </w:rPr>
        <w:t>优质</w:t>
      </w:r>
      <w:r>
        <w:rPr>
          <w:rFonts w:hint="default" w:ascii="Times New Roman" w:hAnsi="Times New Roman" w:eastAsia="仿宋_GB2312" w:cs="Times New Roman"/>
          <w:kern w:val="2"/>
          <w:sz w:val="32"/>
          <w:szCs w:val="32"/>
          <w:highlight w:val="none"/>
          <w:lang w:val="en-US" w:eastAsia="zh-CN" w:bidi="ar-SA"/>
        </w:rPr>
        <w:t>水资源在</w:t>
      </w:r>
      <w:r>
        <w:rPr>
          <w:rFonts w:hint="eastAsia" w:eastAsia="仿宋_GB2312" w:cs="Times New Roman"/>
          <w:kern w:val="2"/>
          <w:sz w:val="32"/>
          <w:szCs w:val="32"/>
          <w:highlight w:val="none"/>
          <w:lang w:val="en-US" w:eastAsia="zh-CN" w:bidi="ar-SA"/>
        </w:rPr>
        <w:t>发展</w:t>
      </w:r>
      <w:r>
        <w:rPr>
          <w:rFonts w:hint="default" w:ascii="Times New Roman" w:hAnsi="Times New Roman" w:eastAsia="仿宋_GB2312" w:cs="Times New Roman"/>
          <w:kern w:val="2"/>
          <w:sz w:val="32"/>
          <w:szCs w:val="32"/>
          <w:highlight w:val="none"/>
          <w:lang w:val="en-US" w:eastAsia="zh-CN" w:bidi="ar-SA"/>
        </w:rPr>
        <w:t>农村新经济、新业态中的要素保障作用，拓展水生态产品价值转化路径。</w:t>
      </w:r>
      <w:r>
        <w:rPr>
          <w:rFonts w:hint="eastAsia" w:eastAsia="仿宋_GB2312" w:cs="Times New Roman"/>
          <w:kern w:val="2"/>
          <w:sz w:val="32"/>
          <w:szCs w:val="32"/>
          <w:highlight w:val="none"/>
          <w:lang w:val="en-US" w:eastAsia="zh-CN" w:bidi="ar-SA"/>
        </w:rPr>
        <w:t>2025年底前完成第一批用水权确权试点，初步建立用水权确权、价值核算和用水权流转机制。到2027年，用水权流转模式基本成熟，形成一批可复制可推广的典型样板，为推动生态富民、服务乡村振兴发挥积极作用。</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64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二、基本原则</w:t>
      </w:r>
    </w:p>
    <w:p>
      <w:pPr>
        <w:pStyle w:val="14"/>
        <w:keepNext w:val="0"/>
        <w:keepLines w:val="0"/>
        <w:pageBreakBefore w:val="0"/>
        <w:widowControl w:val="0"/>
        <w:shd w:val="clear"/>
        <w:kinsoku/>
        <w:wordWrap/>
        <w:overflowPunct/>
        <w:topLinePunct w:val="0"/>
        <w:autoSpaceDE/>
        <w:autoSpaceDN/>
        <w:bidi w:val="0"/>
        <w:adjustRightInd/>
        <w:snapToGrid/>
        <w:spacing w:after="0" w:afterLines="0" w:line="560" w:lineRule="exact"/>
        <w:ind w:firstLine="0" w:firstLineChars="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w:t>
      </w:r>
      <w:r>
        <w:rPr>
          <w:rFonts w:hint="eastAsia" w:ascii="楷体" w:hAnsi="楷体" w:eastAsia="楷体" w:cs="楷体"/>
          <w:b w:val="0"/>
          <w:bCs w:val="0"/>
          <w:kern w:val="2"/>
          <w:sz w:val="32"/>
          <w:szCs w:val="32"/>
          <w:highlight w:val="none"/>
          <w:lang w:val="en-US" w:eastAsia="zh-CN" w:bidi="ar-SA"/>
        </w:rPr>
        <w:t>统筹配置，科学确权。</w:t>
      </w:r>
      <w:r>
        <w:rPr>
          <w:rFonts w:hint="default" w:ascii="Times New Roman" w:hAnsi="Times New Roman" w:eastAsia="仿宋_GB2312" w:cs="Times New Roman"/>
          <w:kern w:val="2"/>
          <w:sz w:val="32"/>
          <w:szCs w:val="32"/>
          <w:highlight w:val="none"/>
          <w:lang w:val="en-US" w:eastAsia="zh-CN" w:bidi="ar-SA"/>
        </w:rPr>
        <w:t>坚持以水定产，严格落实用水总量控制和河湖水量分配</w:t>
      </w:r>
      <w:r>
        <w:rPr>
          <w:rFonts w:hint="eastAsia" w:eastAsia="仿宋_GB2312" w:cs="Times New Roman"/>
          <w:kern w:val="2"/>
          <w:sz w:val="32"/>
          <w:szCs w:val="32"/>
          <w:highlight w:val="none"/>
          <w:lang w:val="en-US" w:eastAsia="zh-CN" w:bidi="ar-SA"/>
        </w:rPr>
        <w:t>要求</w:t>
      </w:r>
      <w:r>
        <w:rPr>
          <w:rFonts w:hint="default" w:ascii="Times New Roman" w:hAnsi="Times New Roman" w:eastAsia="仿宋_GB2312" w:cs="Times New Roman"/>
          <w:kern w:val="2"/>
          <w:sz w:val="32"/>
          <w:szCs w:val="32"/>
          <w:highlight w:val="none"/>
          <w:lang w:val="en-US" w:eastAsia="zh-CN" w:bidi="ar-SA"/>
        </w:rPr>
        <w:t>，科学合理明确农村水库山塘用水权主体、用水权量，确保确权流程科学合理。</w:t>
      </w:r>
    </w:p>
    <w:p>
      <w:pPr>
        <w:pStyle w:val="14"/>
        <w:keepNext w:val="0"/>
        <w:keepLines w:val="0"/>
        <w:pageBreakBefore w:val="0"/>
        <w:shd w:val="clear"/>
        <w:kinsoku/>
        <w:wordWrap/>
        <w:overflowPunct/>
        <w:topLinePunct w:val="0"/>
        <w:autoSpaceDE/>
        <w:autoSpaceDN/>
        <w:bidi w:val="0"/>
        <w:adjustRightInd/>
        <w:snapToGrid/>
        <w:spacing w:after="0" w:afterLines="0" w:line="560" w:lineRule="exact"/>
        <w:ind w:firstLine="0" w:firstLineChars="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w:t>
      </w:r>
      <w:r>
        <w:rPr>
          <w:rFonts w:hint="default" w:ascii="Times New Roman" w:hAnsi="Times New Roman" w:eastAsia="仿宋_GB2312" w:cs="Times New Roman"/>
          <w:b/>
          <w:bCs/>
          <w:kern w:val="2"/>
          <w:sz w:val="32"/>
          <w:szCs w:val="32"/>
          <w:highlight w:val="none"/>
          <w:lang w:val="en-US" w:eastAsia="zh-CN" w:bidi="ar-SA"/>
        </w:rPr>
        <w:t>　</w:t>
      </w:r>
      <w:r>
        <w:rPr>
          <w:rFonts w:hint="eastAsia" w:ascii="楷体" w:hAnsi="楷体" w:eastAsia="楷体" w:cs="楷体"/>
          <w:b w:val="0"/>
          <w:bCs w:val="0"/>
          <w:kern w:val="2"/>
          <w:sz w:val="32"/>
          <w:szCs w:val="32"/>
          <w:highlight w:val="none"/>
          <w:lang w:val="en-US" w:eastAsia="zh-CN" w:bidi="ar-SA"/>
        </w:rPr>
        <w:t>因地制宜，分类施策。</w:t>
      </w:r>
      <w:r>
        <w:rPr>
          <w:rFonts w:hint="default" w:ascii="Times New Roman" w:hAnsi="Times New Roman" w:eastAsia="仿宋_GB2312" w:cs="Times New Roman"/>
          <w:b w:val="0"/>
          <w:bCs w:val="0"/>
          <w:kern w:val="2"/>
          <w:sz w:val="32"/>
          <w:szCs w:val="32"/>
          <w:highlight w:val="none"/>
          <w:lang w:val="en-US" w:eastAsia="zh-CN" w:bidi="ar-SA"/>
        </w:rPr>
        <w:t>综合考虑</w:t>
      </w:r>
      <w:r>
        <w:rPr>
          <w:rFonts w:hint="default" w:ascii="Times New Roman" w:hAnsi="Times New Roman" w:eastAsia="仿宋_GB2312" w:cs="Times New Roman"/>
          <w:kern w:val="2"/>
          <w:sz w:val="32"/>
          <w:szCs w:val="32"/>
          <w:highlight w:val="none"/>
          <w:lang w:val="en-US" w:eastAsia="zh-CN" w:bidi="ar-SA"/>
        </w:rPr>
        <w:t>山塘水库周边环境、交通、开发利用等资源禀赋特点与开发利用潜力，因地制宜推进水库山塘</w:t>
      </w:r>
      <w:r>
        <w:rPr>
          <w:rFonts w:hint="eastAsia" w:eastAsia="仿宋_GB2312" w:cs="Times New Roman"/>
          <w:kern w:val="2"/>
          <w:sz w:val="32"/>
          <w:szCs w:val="32"/>
          <w:highlight w:val="none"/>
          <w:lang w:val="en-US" w:eastAsia="zh-CN" w:bidi="ar-SA"/>
        </w:rPr>
        <w:t>用水权流转</w:t>
      </w:r>
      <w:r>
        <w:rPr>
          <w:rFonts w:hint="default" w:ascii="Times New Roman" w:hAnsi="Times New Roman" w:eastAsia="仿宋_GB2312" w:cs="Times New Roman"/>
          <w:kern w:val="2"/>
          <w:sz w:val="32"/>
          <w:szCs w:val="32"/>
          <w:highlight w:val="none"/>
          <w:lang w:val="en-US" w:eastAsia="zh-CN" w:bidi="ar-SA"/>
        </w:rPr>
        <w:t>，实现水资源价值转化。</w:t>
      </w:r>
    </w:p>
    <w:p>
      <w:pPr>
        <w:pStyle w:val="14"/>
        <w:keepNext w:val="0"/>
        <w:keepLines w:val="0"/>
        <w:pageBreakBefore w:val="0"/>
        <w:widowControl/>
        <w:shd w:val="clear"/>
        <w:kinsoku/>
        <w:wordWrap/>
        <w:overflowPunct/>
        <w:topLinePunct w:val="0"/>
        <w:autoSpaceDE/>
        <w:autoSpaceDN/>
        <w:bidi w:val="0"/>
        <w:adjustRightInd w:val="0"/>
        <w:snapToGrid w:val="0"/>
        <w:spacing w:after="0" w:afterLines="0" w:line="560" w:lineRule="exact"/>
        <w:ind w:firstLine="6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楷体" w:hAnsi="楷体" w:eastAsia="楷体" w:cs="楷体"/>
          <w:b w:val="0"/>
          <w:bCs w:val="0"/>
          <w:kern w:val="2"/>
          <w:sz w:val="32"/>
          <w:szCs w:val="32"/>
          <w:highlight w:val="none"/>
          <w:lang w:val="en-US" w:eastAsia="zh-CN" w:bidi="ar-SA"/>
        </w:rPr>
        <w:t>实事求是，公开公正。</w:t>
      </w:r>
      <w:r>
        <w:rPr>
          <w:rFonts w:hint="default" w:ascii="Times New Roman" w:hAnsi="Times New Roman" w:eastAsia="仿宋_GB2312" w:cs="Times New Roman"/>
          <w:b w:val="0"/>
          <w:bCs w:val="0"/>
          <w:kern w:val="2"/>
          <w:sz w:val="32"/>
          <w:szCs w:val="32"/>
          <w:highlight w:val="none"/>
          <w:lang w:val="en-US" w:eastAsia="zh-CN" w:bidi="ar-SA"/>
        </w:rPr>
        <w:t>水权</w:t>
      </w:r>
      <w:r>
        <w:rPr>
          <w:rFonts w:hint="eastAsia" w:eastAsia="仿宋_GB2312" w:cs="Times New Roman"/>
          <w:b w:val="0"/>
          <w:bCs w:val="0"/>
          <w:kern w:val="2"/>
          <w:sz w:val="32"/>
          <w:szCs w:val="32"/>
          <w:highlight w:val="none"/>
          <w:lang w:val="en-US" w:eastAsia="zh-CN" w:bidi="ar-SA"/>
        </w:rPr>
        <w:t>流转</w:t>
      </w:r>
      <w:r>
        <w:rPr>
          <w:rFonts w:hint="default" w:ascii="Times New Roman" w:hAnsi="Times New Roman" w:eastAsia="仿宋_GB2312" w:cs="Times New Roman"/>
          <w:b w:val="0"/>
          <w:bCs w:val="0"/>
          <w:kern w:val="2"/>
          <w:sz w:val="32"/>
          <w:szCs w:val="32"/>
          <w:highlight w:val="none"/>
          <w:lang w:val="en-US" w:eastAsia="zh-CN" w:bidi="ar-SA"/>
        </w:rPr>
        <w:t>坚持公开、公平、公正，权益分配合理合规。充分考虑山塘水库现状权属及用水利益关系，稳中求进，有效推进水资源价值实现。</w:t>
      </w:r>
    </w:p>
    <w:p>
      <w:pPr>
        <w:pStyle w:val="14"/>
        <w:keepNext w:val="0"/>
        <w:keepLines w:val="0"/>
        <w:pageBreakBefore w:val="0"/>
        <w:widowControl/>
        <w:shd w:val="clear"/>
        <w:kinsoku/>
        <w:wordWrap/>
        <w:overflowPunct/>
        <w:topLinePunct w:val="0"/>
        <w:autoSpaceDE/>
        <w:autoSpaceDN/>
        <w:bidi w:val="0"/>
        <w:adjustRightInd/>
        <w:snapToGrid/>
        <w:spacing w:after="0" w:afterLines="0" w:line="560" w:lineRule="exact"/>
        <w:ind w:firstLine="0" w:firstLineChars="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w:t>
      </w:r>
      <w:r>
        <w:rPr>
          <w:rFonts w:hint="default" w:ascii="楷体" w:hAnsi="楷体" w:eastAsia="楷体" w:cs="楷体"/>
          <w:b w:val="0"/>
          <w:bCs w:val="0"/>
          <w:kern w:val="2"/>
          <w:sz w:val="32"/>
          <w:szCs w:val="32"/>
          <w:highlight w:val="none"/>
          <w:lang w:val="en-US" w:eastAsia="zh-CN" w:bidi="ar-SA"/>
        </w:rPr>
        <w:t>政府</w:t>
      </w:r>
      <w:r>
        <w:rPr>
          <w:rFonts w:hint="eastAsia" w:ascii="楷体" w:hAnsi="楷体" w:eastAsia="楷体" w:cs="楷体"/>
          <w:b w:val="0"/>
          <w:bCs w:val="0"/>
          <w:kern w:val="2"/>
          <w:sz w:val="32"/>
          <w:szCs w:val="32"/>
          <w:highlight w:val="none"/>
          <w:lang w:val="en-US" w:eastAsia="zh-CN" w:bidi="ar-SA"/>
        </w:rPr>
        <w:t>引导</w:t>
      </w:r>
      <w:r>
        <w:rPr>
          <w:rFonts w:hint="default" w:ascii="楷体" w:hAnsi="楷体" w:eastAsia="楷体" w:cs="楷体"/>
          <w:b w:val="0"/>
          <w:bCs w:val="0"/>
          <w:kern w:val="2"/>
          <w:sz w:val="32"/>
          <w:szCs w:val="32"/>
          <w:highlight w:val="none"/>
          <w:lang w:val="en-US" w:eastAsia="zh-CN" w:bidi="ar-SA"/>
        </w:rPr>
        <w:t>，市场运作。</w:t>
      </w:r>
      <w:r>
        <w:rPr>
          <w:rFonts w:hint="default" w:ascii="Times New Roman" w:hAnsi="Times New Roman" w:eastAsia="仿宋_GB2312" w:cs="Times New Roman"/>
          <w:b w:val="0"/>
          <w:bCs w:val="0"/>
          <w:kern w:val="2"/>
          <w:sz w:val="32"/>
          <w:szCs w:val="32"/>
          <w:highlight w:val="none"/>
          <w:lang w:val="en-US" w:eastAsia="zh-CN" w:bidi="ar-SA"/>
        </w:rPr>
        <w:t>积极履行政府在用水权确权、价值核算、</w:t>
      </w:r>
      <w:r>
        <w:rPr>
          <w:rFonts w:hint="eastAsia" w:eastAsia="仿宋_GB2312" w:cs="Times New Roman"/>
          <w:b w:val="0"/>
          <w:bCs w:val="0"/>
          <w:kern w:val="2"/>
          <w:sz w:val="32"/>
          <w:szCs w:val="32"/>
          <w:highlight w:val="none"/>
          <w:lang w:val="en-US" w:eastAsia="zh-CN" w:bidi="ar-SA"/>
        </w:rPr>
        <w:t>流转</w:t>
      </w:r>
      <w:r>
        <w:rPr>
          <w:rFonts w:hint="default" w:ascii="Times New Roman" w:hAnsi="Times New Roman" w:eastAsia="仿宋_GB2312" w:cs="Times New Roman"/>
          <w:b w:val="0"/>
          <w:bCs w:val="0"/>
          <w:kern w:val="2"/>
          <w:sz w:val="32"/>
          <w:szCs w:val="32"/>
          <w:highlight w:val="none"/>
          <w:lang w:val="en-US" w:eastAsia="zh-CN" w:bidi="ar-SA"/>
        </w:rPr>
        <w:t>等体制机制中的</w:t>
      </w:r>
      <w:r>
        <w:rPr>
          <w:rFonts w:hint="eastAsia" w:eastAsia="仿宋_GB2312" w:cs="Times New Roman"/>
          <w:b w:val="0"/>
          <w:bCs w:val="0"/>
          <w:kern w:val="2"/>
          <w:sz w:val="32"/>
          <w:szCs w:val="32"/>
          <w:highlight w:val="none"/>
          <w:lang w:val="en-US" w:eastAsia="zh-CN" w:bidi="ar-SA"/>
        </w:rPr>
        <w:t>引导作用，充分</w:t>
      </w:r>
      <w:r>
        <w:rPr>
          <w:rFonts w:hint="default" w:ascii="Times New Roman" w:hAnsi="Times New Roman" w:eastAsia="仿宋_GB2312" w:cs="Times New Roman"/>
          <w:kern w:val="2"/>
          <w:sz w:val="32"/>
          <w:szCs w:val="32"/>
          <w:highlight w:val="none"/>
          <w:lang w:val="en-US" w:eastAsia="zh-CN" w:bidi="ar-SA"/>
        </w:rPr>
        <w:t>调动市场积极性，吸引社会资本</w:t>
      </w:r>
      <w:r>
        <w:rPr>
          <w:rFonts w:hint="eastAsia" w:eastAsia="仿宋_GB2312" w:cs="Times New Roman"/>
          <w:kern w:val="2"/>
          <w:sz w:val="32"/>
          <w:szCs w:val="32"/>
          <w:highlight w:val="none"/>
          <w:lang w:val="en-US" w:eastAsia="zh-CN" w:bidi="ar-SA"/>
        </w:rPr>
        <w:t>参与用水权流转和水库山塘综合开发</w:t>
      </w:r>
      <w:r>
        <w:rPr>
          <w:rFonts w:hint="default" w:ascii="Times New Roman" w:hAnsi="Times New Roman" w:eastAsia="仿宋_GB2312" w:cs="Times New Roman"/>
          <w:kern w:val="2"/>
          <w:sz w:val="32"/>
          <w:szCs w:val="32"/>
          <w:highlight w:val="none"/>
          <w:lang w:val="en-US" w:eastAsia="zh-CN" w:bidi="ar-SA"/>
        </w:rPr>
        <w:t>。</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64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三、主要任务</w:t>
      </w:r>
    </w:p>
    <w:p>
      <w:pPr>
        <w:pStyle w:val="14"/>
        <w:keepNext w:val="0"/>
        <w:keepLines w:val="0"/>
        <w:pageBreakBefore w:val="0"/>
        <w:numPr>
          <w:ilvl w:val="0"/>
          <w:numId w:val="1"/>
        </w:numPr>
        <w:shd w:val="clear"/>
        <w:kinsoku/>
        <w:wordWrap/>
        <w:overflowPunct/>
        <w:topLinePunct w:val="0"/>
        <w:autoSpaceDE/>
        <w:autoSpaceDN/>
        <w:bidi w:val="0"/>
        <w:spacing w:after="0" w:line="560" w:lineRule="exact"/>
        <w:ind w:firstLine="640" w:firstLineChars="200"/>
        <w:jc w:val="left"/>
        <w:textAlignment w:val="auto"/>
        <w:outlineLvl w:val="1"/>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开展用水权确权登记</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各县（市、区）水行政主管部门经县级人民政府授权，可以向水库山塘所在地农村集体积极组织颁发用水权凭证。用水权凭证应明确可用水资源量、取水类型、取水用途等内容。</w:t>
      </w:r>
      <w:r>
        <w:rPr>
          <w:rFonts w:hint="default" w:ascii="Times New Roman" w:hAnsi="Times New Roman" w:eastAsia="仿宋_GB2312" w:cs="Times New Roman"/>
          <w:kern w:val="2"/>
          <w:sz w:val="32"/>
          <w:szCs w:val="32"/>
          <w:highlight w:val="none"/>
          <w:lang w:val="en-US" w:eastAsia="zh-CN" w:bidi="ar-SA"/>
        </w:rPr>
        <w:t>用水权</w:t>
      </w:r>
      <w:r>
        <w:rPr>
          <w:rFonts w:hint="eastAsia" w:ascii="Times New Roman" w:hAnsi="Times New Roman" w:eastAsia="仿宋_GB2312" w:cs="Times New Roman"/>
          <w:kern w:val="2"/>
          <w:sz w:val="32"/>
          <w:szCs w:val="32"/>
          <w:highlight w:val="none"/>
          <w:lang w:val="en-US" w:eastAsia="zh-CN" w:bidi="ar-SA"/>
        </w:rPr>
        <w:t>有效期</w:t>
      </w:r>
      <w:r>
        <w:rPr>
          <w:rFonts w:hint="default" w:ascii="Times New Roman" w:hAnsi="Times New Roman" w:eastAsia="仿宋_GB2312" w:cs="Times New Roman"/>
          <w:kern w:val="2"/>
          <w:sz w:val="32"/>
          <w:szCs w:val="32"/>
          <w:highlight w:val="none"/>
          <w:lang w:val="en-US" w:eastAsia="zh-CN" w:bidi="ar-SA"/>
        </w:rPr>
        <w:t>10年。</w:t>
      </w:r>
      <w:r>
        <w:rPr>
          <w:rFonts w:hint="eastAsia" w:ascii="Times New Roman" w:hAnsi="Times New Roman" w:eastAsia="仿宋_GB2312" w:cs="Times New Roman"/>
          <w:kern w:val="2"/>
          <w:sz w:val="32"/>
          <w:szCs w:val="32"/>
          <w:highlight w:val="none"/>
          <w:lang w:val="en-US" w:eastAsia="zh-CN" w:bidi="ar-SA"/>
        </w:rPr>
        <w:t>用水权凭证由用水权主体提出申请，经</w:t>
      </w:r>
      <w:r>
        <w:rPr>
          <w:rFonts w:hint="default" w:ascii="Times New Roman" w:hAnsi="Times New Roman" w:eastAsia="仿宋_GB2312" w:cs="Times New Roman"/>
          <w:kern w:val="2"/>
          <w:sz w:val="32"/>
          <w:szCs w:val="32"/>
          <w:highlight w:val="none"/>
          <w:lang w:val="en-US" w:eastAsia="zh-CN" w:bidi="ar-SA"/>
        </w:rPr>
        <w:t>属地乡镇</w:t>
      </w:r>
      <w:r>
        <w:rPr>
          <w:rFonts w:hint="eastAsia" w:ascii="Times New Roman" w:hAnsi="Times New Roman" w:eastAsia="仿宋_GB2312" w:cs="Times New Roman"/>
          <w:kern w:val="2"/>
          <w:sz w:val="32"/>
          <w:szCs w:val="32"/>
          <w:highlight w:val="none"/>
          <w:lang w:val="en-US" w:eastAsia="zh-CN" w:bidi="ar-SA"/>
        </w:rPr>
        <w:t>人民</w:t>
      </w:r>
      <w:r>
        <w:rPr>
          <w:rFonts w:hint="default" w:ascii="Times New Roman" w:hAnsi="Times New Roman" w:eastAsia="仿宋_GB2312" w:cs="Times New Roman"/>
          <w:kern w:val="2"/>
          <w:sz w:val="32"/>
          <w:szCs w:val="32"/>
          <w:highlight w:val="none"/>
          <w:lang w:val="en-US" w:eastAsia="zh-CN" w:bidi="ar-SA"/>
        </w:rPr>
        <w:t>政府</w:t>
      </w:r>
      <w:r>
        <w:rPr>
          <w:rFonts w:hint="eastAsia" w:ascii="Times New Roman" w:hAnsi="Times New Roman" w:eastAsia="仿宋_GB2312" w:cs="Times New Roman"/>
          <w:kern w:val="2"/>
          <w:sz w:val="32"/>
          <w:szCs w:val="32"/>
          <w:highlight w:val="none"/>
          <w:lang w:val="en-US" w:eastAsia="zh-CN" w:bidi="ar-SA"/>
        </w:rPr>
        <w:t>同意</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报</w:t>
      </w:r>
      <w:r>
        <w:rPr>
          <w:rFonts w:hint="default" w:ascii="Times New Roman" w:hAnsi="Times New Roman" w:eastAsia="仿宋_GB2312" w:cs="Times New Roman"/>
          <w:kern w:val="2"/>
          <w:sz w:val="32"/>
          <w:szCs w:val="32"/>
          <w:highlight w:val="none"/>
          <w:lang w:val="en-US" w:eastAsia="zh-CN" w:bidi="ar-SA"/>
        </w:rPr>
        <w:t>县级水行政主管部门</w:t>
      </w:r>
      <w:r>
        <w:rPr>
          <w:rFonts w:hint="eastAsia" w:ascii="Times New Roman" w:hAnsi="Times New Roman" w:eastAsia="仿宋_GB2312" w:cs="Times New Roman"/>
          <w:kern w:val="2"/>
          <w:sz w:val="32"/>
          <w:szCs w:val="32"/>
          <w:highlight w:val="none"/>
          <w:lang w:val="en-US" w:eastAsia="zh-CN" w:bidi="ar-SA"/>
        </w:rPr>
        <w:t>核发</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有条件的开展不动产权登记的，在取得不动产权证后，由水利部门直接登记用水权凭证。</w:t>
      </w:r>
    </w:p>
    <w:p>
      <w:pPr>
        <w:pStyle w:val="14"/>
        <w:keepNext w:val="0"/>
        <w:keepLines w:val="0"/>
        <w:pageBreakBefore w:val="0"/>
        <w:numPr>
          <w:ilvl w:val="0"/>
          <w:numId w:val="1"/>
        </w:numPr>
        <w:shd w:val="clear"/>
        <w:kinsoku/>
        <w:wordWrap/>
        <w:overflowPunct/>
        <w:topLinePunct w:val="0"/>
        <w:autoSpaceDE/>
        <w:autoSpaceDN/>
        <w:bidi w:val="0"/>
        <w:spacing w:after="0" w:line="560" w:lineRule="exact"/>
        <w:ind w:firstLine="640" w:firstLineChars="200"/>
        <w:jc w:val="left"/>
        <w:textAlignment w:val="auto"/>
        <w:outlineLvl w:val="1"/>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科学核算</w:t>
      </w:r>
      <w:r>
        <w:rPr>
          <w:rFonts w:hint="default" w:ascii="楷体" w:hAnsi="楷体" w:eastAsia="楷体" w:cs="楷体"/>
          <w:b w:val="0"/>
          <w:bCs w:val="0"/>
          <w:sz w:val="32"/>
          <w:szCs w:val="32"/>
          <w:highlight w:val="none"/>
          <w:lang w:val="en-US" w:eastAsia="zh-CN"/>
        </w:rPr>
        <w:t>用水权价值</w:t>
      </w:r>
    </w:p>
    <w:p>
      <w:pPr>
        <w:pStyle w:val="14"/>
        <w:keepNext w:val="0"/>
        <w:keepLines w:val="0"/>
        <w:pageBreakBefore w:val="0"/>
        <w:numPr>
          <w:ilvl w:val="0"/>
          <w:numId w:val="0"/>
        </w:numPr>
        <w:shd w:val="clear"/>
        <w:kinsoku/>
        <w:wordWrap/>
        <w:overflowPunct/>
        <w:topLinePunct w:val="0"/>
        <w:autoSpaceDE/>
        <w:autoSpaceDN/>
        <w:bidi w:val="0"/>
        <w:spacing w:after="0" w:afterLines="0" w:line="560" w:lineRule="exact"/>
        <w:ind w:firstLine="640"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用水权价值核算以县级行政区为单元，由县级水行政主管部门会同</w:t>
      </w:r>
      <w:r>
        <w:rPr>
          <w:rFonts w:hint="eastAsia" w:eastAsia="仿宋_GB2312" w:cs="Times New Roman"/>
          <w:color w:val="auto"/>
          <w:kern w:val="2"/>
          <w:sz w:val="32"/>
          <w:szCs w:val="32"/>
          <w:highlight w:val="none"/>
          <w:lang w:val="en-US" w:eastAsia="zh-CN" w:bidi="ar-SA"/>
        </w:rPr>
        <w:t>县（市、区）</w:t>
      </w:r>
      <w:r>
        <w:rPr>
          <w:rFonts w:hint="default" w:ascii="Times New Roman" w:hAnsi="Times New Roman" w:eastAsia="仿宋_GB2312" w:cs="Times New Roman"/>
          <w:color w:val="auto"/>
          <w:kern w:val="2"/>
          <w:sz w:val="32"/>
          <w:szCs w:val="32"/>
          <w:highlight w:val="none"/>
          <w:lang w:val="en-US" w:eastAsia="zh-CN" w:bidi="ar-SA"/>
        </w:rPr>
        <w:t>发展改革</w:t>
      </w:r>
      <w:r>
        <w:rPr>
          <w:rFonts w:hint="eastAsia" w:eastAsia="仿宋_GB2312" w:cs="Times New Roman"/>
          <w:color w:val="auto"/>
          <w:kern w:val="2"/>
          <w:sz w:val="32"/>
          <w:szCs w:val="32"/>
          <w:highlight w:val="none"/>
          <w:lang w:val="en-US" w:eastAsia="zh-CN" w:bidi="ar-SA"/>
        </w:rPr>
        <w:t>局</w:t>
      </w:r>
      <w:r>
        <w:rPr>
          <w:rFonts w:hint="default" w:ascii="Times New Roman" w:hAnsi="Times New Roman" w:eastAsia="仿宋_GB2312" w:cs="Times New Roman"/>
          <w:color w:val="auto"/>
          <w:kern w:val="2"/>
          <w:sz w:val="32"/>
          <w:szCs w:val="32"/>
          <w:highlight w:val="none"/>
          <w:lang w:val="en-US" w:eastAsia="zh-CN" w:bidi="ar-SA"/>
        </w:rPr>
        <w:t>等有关部门负责统一核算，作为用水权流转交易的基准价值参考。核算</w:t>
      </w:r>
      <w:r>
        <w:rPr>
          <w:rFonts w:hint="eastAsia" w:eastAsia="仿宋_GB2312" w:cs="Times New Roman"/>
          <w:color w:val="auto"/>
          <w:kern w:val="2"/>
          <w:sz w:val="32"/>
          <w:szCs w:val="32"/>
          <w:highlight w:val="none"/>
          <w:lang w:val="en-US" w:eastAsia="zh-CN" w:bidi="ar-SA"/>
        </w:rPr>
        <w:t>推荐</w:t>
      </w:r>
      <w:r>
        <w:rPr>
          <w:rFonts w:hint="default" w:ascii="Times New Roman" w:hAnsi="Times New Roman" w:eastAsia="仿宋_GB2312" w:cs="Times New Roman"/>
          <w:color w:val="auto"/>
          <w:kern w:val="2"/>
          <w:sz w:val="32"/>
          <w:szCs w:val="32"/>
          <w:highlight w:val="none"/>
          <w:lang w:val="en-US" w:eastAsia="zh-CN" w:bidi="ar-SA"/>
        </w:rPr>
        <w:t>采用重置成本法，结合山塘水库的水量、水质、区位、开发条件等因素，并考虑综合成新率确定。对已开发利用的山塘水库，可采用收益现值法、现行市价法等进行核算。</w:t>
      </w:r>
    </w:p>
    <w:p>
      <w:pPr>
        <w:pStyle w:val="14"/>
        <w:keepNext w:val="0"/>
        <w:keepLines w:val="0"/>
        <w:pageBreakBefore w:val="0"/>
        <w:numPr>
          <w:ilvl w:val="0"/>
          <w:numId w:val="1"/>
        </w:numPr>
        <w:shd w:val="clear"/>
        <w:kinsoku/>
        <w:wordWrap/>
        <w:overflowPunct/>
        <w:topLinePunct w:val="0"/>
        <w:autoSpaceDE/>
        <w:autoSpaceDN/>
        <w:bidi w:val="0"/>
        <w:spacing w:after="0" w:line="560" w:lineRule="exact"/>
        <w:ind w:firstLine="640" w:firstLineChars="200"/>
        <w:jc w:val="left"/>
        <w:textAlignment w:val="auto"/>
        <w:outlineLvl w:val="1"/>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组织推进</w:t>
      </w:r>
      <w:r>
        <w:rPr>
          <w:rFonts w:hint="default" w:ascii="楷体" w:hAnsi="楷体" w:eastAsia="楷体" w:cs="楷体"/>
          <w:b w:val="0"/>
          <w:bCs w:val="0"/>
          <w:sz w:val="32"/>
          <w:szCs w:val="32"/>
          <w:highlight w:val="none"/>
          <w:lang w:val="en-US" w:eastAsia="zh-CN"/>
        </w:rPr>
        <w:t>用水权</w:t>
      </w:r>
      <w:r>
        <w:rPr>
          <w:rFonts w:hint="eastAsia" w:ascii="楷体" w:hAnsi="楷体" w:eastAsia="楷体" w:cs="楷体"/>
          <w:b w:val="0"/>
          <w:bCs w:val="0"/>
          <w:sz w:val="32"/>
          <w:szCs w:val="32"/>
          <w:highlight w:val="none"/>
          <w:lang w:val="en-US" w:eastAsia="zh-CN"/>
        </w:rPr>
        <w:t>流转</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各县（市、区）应充分利用农村产权服务中心等公共资源交易平台开展用水权流转，统一发布信息、受理交易申请、组织交易活动，提供政策咨询、用水权查询等服务。用水权流转不改变水库山塘产权归属。农村集体山塘水库用水权转让时，县级水行政主管部门应办理用水权登记变更手续。流转形式包括转让、租赁、入股等，也可通过质押、抵押、担保等方式，为山塘水库开发利用和保护提供融资支持。鼓励用水权与周边土地、林地、房屋等资源打包流转，推动水利、农业和文旅等产业融合发展，促进水生态产品价值实现。</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64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四、工作安排</w:t>
      </w:r>
    </w:p>
    <w:p>
      <w:pPr>
        <w:pStyle w:val="14"/>
        <w:keepNext w:val="0"/>
        <w:keepLines w:val="0"/>
        <w:pageBreakBefore w:val="0"/>
        <w:shd w:val="clear"/>
        <w:kinsoku/>
        <w:wordWrap/>
        <w:overflowPunct/>
        <w:topLinePunct w:val="0"/>
        <w:autoSpaceDE/>
        <w:autoSpaceDN/>
        <w:bidi w:val="0"/>
        <w:spacing w:after="0"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val="0"/>
          <w:bCs w:val="0"/>
          <w:sz w:val="32"/>
          <w:szCs w:val="32"/>
          <w:highlight w:val="none"/>
          <w:lang w:val="en-US" w:eastAsia="zh-CN"/>
        </w:rPr>
        <w:t>（一）开展确权试点。</w:t>
      </w:r>
      <w:r>
        <w:rPr>
          <w:rFonts w:hint="eastAsia" w:ascii="仿宋_GB2312" w:hAnsi="仿宋_GB2312" w:eastAsia="仿宋_GB2312" w:cs="仿宋_GB2312"/>
          <w:color w:val="auto"/>
          <w:kern w:val="2"/>
          <w:sz w:val="32"/>
          <w:szCs w:val="32"/>
          <w:highlight w:val="none"/>
          <w:lang w:val="en-US" w:eastAsia="zh-CN" w:bidi="ar-SA"/>
        </w:rPr>
        <w:t>2025年6月底前，各县（市、区）完成农村集体水库山塘基本情况排查，确定工作名录。2025年11月底前，优先筛选一批业态丰富、交通便利、环境优美、有开发潜力的水库山塘试点开展用水权确权，探索开展用水权价值核算和用水权流转，力争每个县（市、区）完成1～2个试点。</w:t>
      </w:r>
    </w:p>
    <w:p>
      <w:pPr>
        <w:keepNext w:val="0"/>
        <w:keepLines w:val="0"/>
        <w:pageBreakBefore w:val="0"/>
        <w:shd w:val="clear"/>
        <w:kinsoku/>
        <w:wordWrap/>
        <w:overflowPunct/>
        <w:topLinePunct w:val="0"/>
        <w:autoSpaceDE/>
        <w:autoSpaceDN/>
        <w:bidi w:val="0"/>
        <w:spacing w:afterLines="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楷体" w:hAnsi="楷体" w:eastAsia="楷体" w:cs="楷体"/>
          <w:b w:val="0"/>
          <w:bCs w:val="0"/>
          <w:kern w:val="2"/>
          <w:sz w:val="32"/>
          <w:szCs w:val="32"/>
          <w:highlight w:val="none"/>
          <w:lang w:val="en-US" w:eastAsia="zh-CN" w:bidi="ar-SA"/>
        </w:rPr>
        <w:t>（二）</w:t>
      </w:r>
      <w:r>
        <w:rPr>
          <w:rFonts w:hint="eastAsia" w:ascii="楷体" w:hAnsi="楷体" w:eastAsia="楷体" w:cs="楷体"/>
          <w:b w:val="0"/>
          <w:bCs w:val="0"/>
          <w:kern w:val="2"/>
          <w:sz w:val="32"/>
          <w:szCs w:val="32"/>
          <w:highlight w:val="none"/>
          <w:lang w:val="en-US" w:eastAsia="zh-CN" w:bidi="ar-SA"/>
        </w:rPr>
        <w:t>试点</w:t>
      </w:r>
      <w:r>
        <w:rPr>
          <w:rFonts w:hint="default" w:ascii="楷体" w:hAnsi="楷体" w:eastAsia="楷体" w:cs="楷体"/>
          <w:b w:val="0"/>
          <w:bCs w:val="0"/>
          <w:kern w:val="2"/>
          <w:sz w:val="32"/>
          <w:szCs w:val="32"/>
          <w:highlight w:val="none"/>
          <w:lang w:val="en-US" w:eastAsia="zh-CN" w:bidi="ar-SA"/>
        </w:rPr>
        <w:t>扩</w:t>
      </w:r>
      <w:r>
        <w:rPr>
          <w:rFonts w:hint="eastAsia" w:ascii="楷体" w:hAnsi="楷体" w:eastAsia="楷体" w:cs="楷体"/>
          <w:b w:val="0"/>
          <w:bCs w:val="0"/>
          <w:kern w:val="2"/>
          <w:sz w:val="32"/>
          <w:szCs w:val="32"/>
          <w:highlight w:val="none"/>
          <w:lang w:val="en-US" w:eastAsia="zh-CN" w:bidi="ar-SA"/>
        </w:rPr>
        <w:t>围提升。</w:t>
      </w:r>
      <w:r>
        <w:rPr>
          <w:rFonts w:hint="eastAsia" w:ascii="仿宋_GB2312" w:hAnsi="仿宋_GB2312" w:eastAsia="仿宋_GB2312" w:cs="仿宋_GB2312"/>
          <w:color w:val="auto"/>
          <w:kern w:val="2"/>
          <w:sz w:val="32"/>
          <w:szCs w:val="32"/>
          <w:highlight w:val="none"/>
          <w:lang w:val="en-US" w:eastAsia="zh-CN" w:bidi="ar-SA"/>
        </w:rPr>
        <w:t>稳步推动农村集体水库山塘用水权确权扩围，2026年12月底前，完成50座以上农村集体水库山塘用水权确权，用水权流转类型进一步丰富，形成一批可复制可推广的优秀案例。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楷体" w:hAnsi="楷体" w:eastAsia="楷体" w:cs="楷体"/>
          <w:b w:val="0"/>
          <w:bCs w:val="0"/>
          <w:kern w:val="2"/>
          <w:sz w:val="32"/>
          <w:szCs w:val="32"/>
          <w:highlight w:val="none"/>
          <w:lang w:val="en-US" w:eastAsia="zh-CN" w:bidi="ar-SA"/>
        </w:rPr>
        <w:t>（三）总结提高</w:t>
      </w:r>
      <w:r>
        <w:rPr>
          <w:rFonts w:hint="eastAsia" w:ascii="楷体" w:hAnsi="楷体" w:eastAsia="楷体" w:cs="楷体"/>
          <w:b w:val="0"/>
          <w:bCs w:val="0"/>
          <w:kern w:val="2"/>
          <w:sz w:val="32"/>
          <w:szCs w:val="32"/>
          <w:highlight w:val="none"/>
          <w:lang w:val="en-US" w:eastAsia="zh-CN" w:bidi="ar-SA"/>
        </w:rPr>
        <w:t>阶段。</w:t>
      </w:r>
      <w:r>
        <w:rPr>
          <w:rFonts w:hint="eastAsia" w:ascii="仿宋_GB2312" w:hAnsi="仿宋_GB2312" w:eastAsia="仿宋_GB2312" w:cs="仿宋_GB2312"/>
          <w:kern w:val="2"/>
          <w:sz w:val="32"/>
          <w:szCs w:val="32"/>
          <w:lang w:val="en-US" w:eastAsia="zh-CN" w:bidi="ar-SA"/>
        </w:rPr>
        <w:t>2027年12月底前，总结农村集体水库山塘用水权改革经验成果，完成100座以上农村集体水库山塘用水权确权，用水权流转模式基本成熟，水库山塘成为绿色富民的重要载体。</w:t>
      </w:r>
    </w:p>
    <w:p>
      <w:pPr>
        <w:pStyle w:val="14"/>
        <w:keepNext w:val="0"/>
        <w:keepLines w:val="0"/>
        <w:pageBreakBefore w:val="0"/>
        <w:numPr>
          <w:ilvl w:val="-1"/>
          <w:numId w:val="0"/>
        </w:numPr>
        <w:shd w:val="clear"/>
        <w:kinsoku/>
        <w:wordWrap/>
        <w:overflowPunct/>
        <w:topLinePunct w:val="0"/>
        <w:autoSpaceDE/>
        <w:autoSpaceDN/>
        <w:bidi w:val="0"/>
        <w:spacing w:after="0" w:line="560" w:lineRule="exact"/>
        <w:ind w:firstLine="64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五、保障措施</w:t>
      </w:r>
    </w:p>
    <w:p>
      <w:pPr>
        <w:pStyle w:val="14"/>
        <w:keepNext w:val="0"/>
        <w:keepLines w:val="0"/>
        <w:pageBreakBefore w:val="0"/>
        <w:widowControl w:val="0"/>
        <w:numPr>
          <w:ilvl w:val="-1"/>
          <w:numId w:val="0"/>
        </w:numPr>
        <w:shd w:val="clear"/>
        <w:kinsoku/>
        <w:wordWrap/>
        <w:overflowPunct/>
        <w:topLinePunct w:val="0"/>
        <w:autoSpaceDE/>
        <w:autoSpaceDN/>
        <w:bidi w:val="0"/>
        <w:spacing w:after="0" w:line="560" w:lineRule="exact"/>
        <w:ind w:firstLine="640" w:firstLineChars="200"/>
        <w:jc w:val="left"/>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eastAsia" w:ascii="楷体" w:hAnsi="楷体" w:eastAsia="楷体" w:cs="楷体"/>
          <w:b w:val="0"/>
          <w:bCs w:val="0"/>
          <w:sz w:val="32"/>
          <w:szCs w:val="32"/>
          <w:highlight w:val="none"/>
          <w:lang w:val="en-US" w:eastAsia="zh-CN"/>
        </w:rPr>
        <w:t>（一）加强组织领导。</w:t>
      </w: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县（市、区）</w:t>
      </w:r>
      <w:r>
        <w:rPr>
          <w:rFonts w:hint="default" w:ascii="Times New Roman" w:hAnsi="Times New Roman" w:eastAsia="仿宋_GB2312" w:cs="Times New Roman"/>
          <w:color w:val="auto"/>
          <w:kern w:val="2"/>
          <w:sz w:val="32"/>
          <w:szCs w:val="32"/>
          <w:highlight w:val="none"/>
          <w:lang w:val="en-US" w:eastAsia="zh-CN" w:bidi="ar-SA"/>
        </w:rPr>
        <w:t>要</w:t>
      </w:r>
      <w:r>
        <w:rPr>
          <w:rFonts w:hint="eastAsia" w:ascii="Times New Roman" w:hAnsi="Times New Roman" w:eastAsia="仿宋_GB2312" w:cs="Times New Roman"/>
          <w:color w:val="auto"/>
          <w:kern w:val="2"/>
          <w:sz w:val="32"/>
          <w:szCs w:val="32"/>
          <w:highlight w:val="none"/>
          <w:lang w:val="en-US" w:eastAsia="zh-CN" w:bidi="ar-SA"/>
        </w:rPr>
        <w:t>将</w:t>
      </w:r>
      <w:r>
        <w:rPr>
          <w:rFonts w:hint="default" w:ascii="Times New Roman" w:hAnsi="Times New Roman" w:eastAsia="仿宋_GB2312" w:cs="Times New Roman"/>
          <w:color w:val="auto"/>
          <w:kern w:val="2"/>
          <w:sz w:val="32"/>
          <w:szCs w:val="32"/>
          <w:highlight w:val="none"/>
          <w:lang w:val="en-US" w:eastAsia="zh-CN" w:bidi="ar-SA"/>
        </w:rPr>
        <w:t>农村集体水库山塘</w:t>
      </w:r>
      <w:r>
        <w:rPr>
          <w:rFonts w:hint="eastAsia" w:ascii="Times New Roman" w:hAnsi="Times New Roman" w:eastAsia="仿宋_GB2312" w:cs="Times New Roman"/>
          <w:color w:val="auto"/>
          <w:kern w:val="2"/>
          <w:sz w:val="32"/>
          <w:szCs w:val="32"/>
          <w:highlight w:val="none"/>
          <w:lang w:val="en-US" w:eastAsia="zh-CN" w:bidi="ar-SA"/>
        </w:rPr>
        <w:t>用</w:t>
      </w:r>
      <w:r>
        <w:rPr>
          <w:rFonts w:hint="default" w:ascii="Times New Roman" w:hAnsi="Times New Roman" w:eastAsia="仿宋_GB2312" w:cs="Times New Roman"/>
          <w:color w:val="auto"/>
          <w:kern w:val="2"/>
          <w:sz w:val="32"/>
          <w:szCs w:val="32"/>
          <w:highlight w:val="none"/>
          <w:lang w:val="en-US" w:eastAsia="zh-CN" w:bidi="ar-SA"/>
        </w:rPr>
        <w:t>水权改革</w:t>
      </w:r>
      <w:r>
        <w:rPr>
          <w:rFonts w:hint="eastAsia" w:ascii="Times New Roman" w:hAnsi="Times New Roman" w:eastAsia="仿宋_GB2312" w:cs="Times New Roman"/>
          <w:color w:val="auto"/>
          <w:kern w:val="2"/>
          <w:sz w:val="32"/>
          <w:szCs w:val="32"/>
          <w:highlight w:val="none"/>
          <w:lang w:val="en-US" w:eastAsia="zh-CN" w:bidi="ar-SA"/>
        </w:rPr>
        <w:t>作为践行习近平生态文明思想和治水思路的重要举措，提高政治站位</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强化部门统筹，</w:t>
      </w:r>
      <w:r>
        <w:rPr>
          <w:rFonts w:hint="default" w:ascii="Times New Roman" w:hAnsi="Times New Roman" w:eastAsia="仿宋_GB2312" w:cs="Times New Roman"/>
          <w:color w:val="auto"/>
          <w:kern w:val="2"/>
          <w:sz w:val="32"/>
          <w:szCs w:val="32"/>
          <w:highlight w:val="none"/>
          <w:lang w:val="en-US" w:eastAsia="zh-CN" w:bidi="ar-SA"/>
        </w:rPr>
        <w:t>落实工作经费，</w:t>
      </w:r>
      <w:r>
        <w:rPr>
          <w:rFonts w:hint="eastAsia" w:ascii="Times New Roman" w:hAnsi="Times New Roman" w:eastAsia="仿宋_GB2312" w:cs="Times New Roman"/>
          <w:color w:val="auto"/>
          <w:kern w:val="2"/>
          <w:sz w:val="32"/>
          <w:szCs w:val="32"/>
          <w:highlight w:val="none"/>
          <w:lang w:val="en-US" w:eastAsia="zh-CN" w:bidi="ar-SA"/>
        </w:rPr>
        <w:t>及时协调解决改革过程中出现的问题，坚守农村改革“三条底线”。</w:t>
      </w:r>
      <w:r>
        <w:rPr>
          <w:rFonts w:hint="default" w:ascii="Times New Roman" w:hAnsi="Times New Roman" w:eastAsia="仿宋_GB2312" w:cs="Times New Roman"/>
          <w:color w:val="auto"/>
          <w:kern w:val="2"/>
          <w:sz w:val="32"/>
          <w:szCs w:val="32"/>
          <w:highlight w:val="none"/>
          <w:lang w:val="en-US" w:eastAsia="zh-CN" w:bidi="ar-SA"/>
        </w:rPr>
        <w:t>因地制宜推进用水权交易，推动建立农村集体山塘水库用水权改革制度体系。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FF0000"/>
          <w:kern w:val="2"/>
          <w:sz w:val="32"/>
          <w:szCs w:val="32"/>
          <w:highlight w:val="none"/>
          <w:lang w:val="en-US" w:eastAsia="zh-CN" w:bidi="ar-SA"/>
        </w:rPr>
      </w:pPr>
      <w:r>
        <w:rPr>
          <w:rFonts w:hint="default"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lang w:val="en-US" w:eastAsia="zh-CN"/>
        </w:rPr>
        <w:t>明确职责分工</w:t>
      </w:r>
      <w:r>
        <w:rPr>
          <w:rFonts w:hint="default" w:ascii="楷体" w:hAnsi="楷体" w:eastAsia="楷体" w:cs="楷体"/>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市</w:t>
      </w:r>
      <w:r>
        <w:rPr>
          <w:rFonts w:hint="default" w:ascii="Times New Roman" w:hAnsi="Times New Roman" w:eastAsia="仿宋_GB2312" w:cs="Times New Roman"/>
          <w:kern w:val="2"/>
          <w:sz w:val="32"/>
          <w:szCs w:val="32"/>
          <w:highlight w:val="none"/>
          <w:lang w:val="en-US" w:eastAsia="zh-CN" w:bidi="ar-SA"/>
        </w:rPr>
        <w:t>水利</w:t>
      </w:r>
      <w:r>
        <w:rPr>
          <w:rFonts w:hint="eastAsia" w:ascii="Times New Roman" w:hAnsi="Times New Roman" w:eastAsia="仿宋_GB2312" w:cs="Times New Roman"/>
          <w:kern w:val="2"/>
          <w:sz w:val="32"/>
          <w:szCs w:val="32"/>
          <w:highlight w:val="none"/>
          <w:lang w:val="en-US" w:eastAsia="zh-CN" w:bidi="ar-SA"/>
        </w:rPr>
        <w:t>局</w:t>
      </w:r>
      <w:r>
        <w:rPr>
          <w:rFonts w:hint="default" w:ascii="Times New Roman" w:hAnsi="Times New Roman" w:eastAsia="仿宋_GB2312" w:cs="Times New Roman"/>
          <w:kern w:val="2"/>
          <w:sz w:val="32"/>
          <w:szCs w:val="32"/>
          <w:highlight w:val="none"/>
          <w:lang w:val="en-US" w:eastAsia="zh-CN" w:bidi="ar-SA"/>
        </w:rPr>
        <w:t>牵头制定</w:t>
      </w:r>
      <w:r>
        <w:rPr>
          <w:rFonts w:hint="eastAsia" w:ascii="Times New Roman" w:hAnsi="Times New Roman" w:eastAsia="仿宋_GB2312" w:cs="Times New Roman"/>
          <w:kern w:val="2"/>
          <w:sz w:val="32"/>
          <w:szCs w:val="32"/>
          <w:highlight w:val="none"/>
          <w:lang w:val="en-US" w:eastAsia="zh-CN" w:bidi="ar-SA"/>
        </w:rPr>
        <w:t>《温州市农村集体水库山塘用水权</w:t>
      </w:r>
      <w:r>
        <w:rPr>
          <w:rFonts w:hint="default" w:ascii="Times New Roman" w:hAnsi="Times New Roman" w:eastAsia="仿宋_GB2312" w:cs="Times New Roman"/>
          <w:kern w:val="2"/>
          <w:sz w:val="32"/>
          <w:szCs w:val="32"/>
          <w:highlight w:val="none"/>
          <w:lang w:val="en-US" w:eastAsia="zh-CN" w:bidi="ar-SA"/>
        </w:rPr>
        <w:t>改革</w:t>
      </w:r>
      <w:r>
        <w:rPr>
          <w:rFonts w:hint="eastAsia" w:ascii="Times New Roman" w:hAnsi="Times New Roman" w:eastAsia="仿宋_GB2312" w:cs="Times New Roman"/>
          <w:kern w:val="2"/>
          <w:sz w:val="32"/>
          <w:szCs w:val="32"/>
          <w:highlight w:val="none"/>
          <w:lang w:val="en-US" w:eastAsia="zh-CN" w:bidi="ar-SA"/>
        </w:rPr>
        <w:t>实施</w:t>
      </w:r>
      <w:r>
        <w:rPr>
          <w:rFonts w:hint="default" w:ascii="Times New Roman" w:hAnsi="Times New Roman" w:eastAsia="仿宋_GB2312" w:cs="Times New Roman"/>
          <w:kern w:val="2"/>
          <w:sz w:val="32"/>
          <w:szCs w:val="32"/>
          <w:highlight w:val="none"/>
          <w:lang w:val="en-US" w:eastAsia="zh-CN" w:bidi="ar-SA"/>
        </w:rPr>
        <w:t>方案</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发</w:t>
      </w:r>
      <w:r>
        <w:rPr>
          <w:rFonts w:hint="eastAsia" w:ascii="Times New Roman" w:hAnsi="Times New Roman" w:eastAsia="仿宋_GB2312" w:cs="Times New Roman"/>
          <w:kern w:val="2"/>
          <w:sz w:val="32"/>
          <w:szCs w:val="32"/>
          <w:highlight w:val="none"/>
          <w:lang w:val="en-US" w:eastAsia="zh-CN" w:bidi="ar-SA"/>
        </w:rPr>
        <w:t>展</w:t>
      </w:r>
      <w:r>
        <w:rPr>
          <w:rFonts w:hint="default" w:ascii="Times New Roman" w:hAnsi="Times New Roman" w:eastAsia="仿宋_GB2312" w:cs="Times New Roman"/>
          <w:kern w:val="2"/>
          <w:sz w:val="32"/>
          <w:szCs w:val="32"/>
          <w:highlight w:val="none"/>
          <w:lang w:val="en-US" w:eastAsia="zh-CN" w:bidi="ar-SA"/>
        </w:rPr>
        <w:t>改</w:t>
      </w:r>
      <w:r>
        <w:rPr>
          <w:rFonts w:hint="eastAsia" w:ascii="Times New Roman" w:hAnsi="Times New Roman" w:eastAsia="仿宋_GB2312" w:cs="Times New Roman"/>
          <w:kern w:val="2"/>
          <w:sz w:val="32"/>
          <w:szCs w:val="32"/>
          <w:highlight w:val="none"/>
          <w:lang w:val="en-US" w:eastAsia="zh-CN" w:bidi="ar-SA"/>
        </w:rPr>
        <w:t>革委</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市自然</w:t>
      </w:r>
      <w:r>
        <w:rPr>
          <w:rFonts w:hint="default" w:ascii="Times New Roman" w:hAnsi="Times New Roman" w:eastAsia="仿宋_GB2312" w:cs="Times New Roman"/>
          <w:kern w:val="2"/>
          <w:sz w:val="32"/>
          <w:szCs w:val="32"/>
          <w:highlight w:val="none"/>
          <w:lang w:val="en-US" w:eastAsia="zh-CN" w:bidi="ar-SA"/>
        </w:rPr>
        <w:t>资</w:t>
      </w:r>
      <w:r>
        <w:rPr>
          <w:rFonts w:hint="eastAsia" w:ascii="Times New Roman" w:hAnsi="Times New Roman" w:eastAsia="仿宋_GB2312" w:cs="Times New Roman"/>
          <w:kern w:val="2"/>
          <w:sz w:val="32"/>
          <w:szCs w:val="32"/>
          <w:highlight w:val="none"/>
          <w:lang w:val="en-US" w:eastAsia="zh-CN" w:bidi="ar-SA"/>
        </w:rPr>
        <w:t>源和</w:t>
      </w:r>
      <w:r>
        <w:rPr>
          <w:rFonts w:hint="default" w:ascii="Times New Roman" w:hAnsi="Times New Roman" w:eastAsia="仿宋_GB2312" w:cs="Times New Roman"/>
          <w:kern w:val="2"/>
          <w:sz w:val="32"/>
          <w:szCs w:val="32"/>
          <w:highlight w:val="none"/>
          <w:lang w:val="en-US" w:eastAsia="zh-CN" w:bidi="ar-SA"/>
        </w:rPr>
        <w:t>规</w:t>
      </w:r>
      <w:r>
        <w:rPr>
          <w:rFonts w:hint="eastAsia" w:ascii="Times New Roman" w:hAnsi="Times New Roman" w:eastAsia="仿宋_GB2312" w:cs="Times New Roman"/>
          <w:kern w:val="2"/>
          <w:sz w:val="32"/>
          <w:szCs w:val="32"/>
          <w:highlight w:val="none"/>
          <w:lang w:val="en-US" w:eastAsia="zh-CN" w:bidi="ar-SA"/>
        </w:rPr>
        <w:t>划局</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农业农村</w:t>
      </w:r>
      <w:r>
        <w:rPr>
          <w:rFonts w:hint="eastAsia" w:ascii="Times New Roman" w:hAnsi="Times New Roman" w:eastAsia="仿宋_GB2312" w:cs="Times New Roman"/>
          <w:kern w:val="2"/>
          <w:sz w:val="32"/>
          <w:szCs w:val="32"/>
          <w:highlight w:val="none"/>
          <w:lang w:val="en-US" w:eastAsia="zh-CN" w:bidi="ar-SA"/>
        </w:rPr>
        <w:t>局</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文</w:t>
      </w:r>
      <w:r>
        <w:rPr>
          <w:rFonts w:hint="eastAsia" w:ascii="Times New Roman" w:hAnsi="Times New Roman" w:eastAsia="仿宋_GB2312" w:cs="Times New Roman"/>
          <w:kern w:val="2"/>
          <w:sz w:val="32"/>
          <w:szCs w:val="32"/>
          <w:highlight w:val="none"/>
          <w:lang w:val="en-US" w:eastAsia="zh-CN" w:bidi="ar-SA"/>
        </w:rPr>
        <w:t>化</w:t>
      </w:r>
      <w:r>
        <w:rPr>
          <w:rFonts w:hint="default" w:ascii="Times New Roman" w:hAnsi="Times New Roman" w:eastAsia="仿宋_GB2312" w:cs="Times New Roman"/>
          <w:kern w:val="2"/>
          <w:sz w:val="32"/>
          <w:szCs w:val="32"/>
          <w:highlight w:val="none"/>
          <w:lang w:val="en-US" w:eastAsia="zh-CN" w:bidi="ar-SA"/>
        </w:rPr>
        <w:t>广</w:t>
      </w:r>
      <w:r>
        <w:rPr>
          <w:rFonts w:hint="eastAsia" w:ascii="Times New Roman" w:hAnsi="Times New Roman" w:eastAsia="仿宋_GB2312" w:cs="Times New Roman"/>
          <w:kern w:val="2"/>
          <w:sz w:val="32"/>
          <w:szCs w:val="32"/>
          <w:highlight w:val="none"/>
          <w:lang w:val="en-US" w:eastAsia="zh-CN" w:bidi="ar-SA"/>
        </w:rPr>
        <w:t>电</w:t>
      </w:r>
      <w:r>
        <w:rPr>
          <w:rFonts w:hint="default" w:ascii="Times New Roman" w:hAnsi="Times New Roman" w:eastAsia="仿宋_GB2312" w:cs="Times New Roman"/>
          <w:kern w:val="2"/>
          <w:sz w:val="32"/>
          <w:szCs w:val="32"/>
          <w:highlight w:val="none"/>
          <w:lang w:val="en-US" w:eastAsia="zh-CN" w:bidi="ar-SA"/>
        </w:rPr>
        <w:t>旅</w:t>
      </w:r>
      <w:r>
        <w:rPr>
          <w:rFonts w:hint="eastAsia" w:ascii="Times New Roman" w:hAnsi="Times New Roman" w:eastAsia="仿宋_GB2312" w:cs="Times New Roman"/>
          <w:kern w:val="2"/>
          <w:sz w:val="32"/>
          <w:szCs w:val="32"/>
          <w:highlight w:val="none"/>
          <w:lang w:val="en-US" w:eastAsia="zh-CN" w:bidi="ar-SA"/>
        </w:rPr>
        <w:t>游局</w:t>
      </w:r>
      <w:r>
        <w:rPr>
          <w:rFonts w:hint="default" w:ascii="Times New Roman" w:hAnsi="Times New Roman" w:eastAsia="仿宋_GB2312" w:cs="Times New Roman"/>
          <w:kern w:val="2"/>
          <w:sz w:val="32"/>
          <w:szCs w:val="32"/>
          <w:highlight w:val="none"/>
          <w:lang w:val="en-US" w:eastAsia="zh-CN" w:bidi="ar-SA"/>
        </w:rPr>
        <w:t>等部门在价值核算、用地审批、农业用水管理、文旅开发等环节</w:t>
      </w:r>
      <w:r>
        <w:rPr>
          <w:rFonts w:hint="eastAsia" w:ascii="Times New Roman" w:hAnsi="Times New Roman" w:eastAsia="仿宋_GB2312" w:cs="Times New Roman"/>
          <w:kern w:val="2"/>
          <w:sz w:val="32"/>
          <w:szCs w:val="32"/>
          <w:highlight w:val="none"/>
          <w:lang w:val="en-US" w:eastAsia="zh-CN" w:bidi="ar-SA"/>
        </w:rPr>
        <w:t>密切配合，共同指导各县（市、区）具体实施</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县（市、区）</w:t>
      </w:r>
      <w:r>
        <w:rPr>
          <w:rFonts w:hint="default" w:ascii="Times New Roman" w:hAnsi="Times New Roman" w:eastAsia="仿宋_GB2312" w:cs="Times New Roman"/>
          <w:kern w:val="2"/>
          <w:sz w:val="32"/>
          <w:szCs w:val="32"/>
          <w:highlight w:val="none"/>
          <w:lang w:val="en-US" w:eastAsia="zh-CN" w:bidi="ar-SA"/>
        </w:rPr>
        <w:t>水利</w:t>
      </w:r>
      <w:r>
        <w:rPr>
          <w:rFonts w:hint="eastAsia" w:ascii="Times New Roman" w:hAnsi="Times New Roman" w:eastAsia="仿宋_GB2312" w:cs="Times New Roman"/>
          <w:kern w:val="2"/>
          <w:sz w:val="32"/>
          <w:szCs w:val="32"/>
          <w:highlight w:val="none"/>
          <w:lang w:val="en-US" w:eastAsia="zh-CN" w:bidi="ar-SA"/>
        </w:rPr>
        <w:t>部门根据方案开展用水权确权登记，</w:t>
      </w:r>
      <w:r>
        <w:rPr>
          <w:rFonts w:hint="default" w:ascii="Times New Roman" w:hAnsi="Times New Roman" w:eastAsia="仿宋_GB2312" w:cs="Times New Roman"/>
          <w:kern w:val="2"/>
          <w:sz w:val="32"/>
          <w:szCs w:val="32"/>
          <w:highlight w:val="none"/>
          <w:lang w:val="en-US" w:eastAsia="zh-CN" w:bidi="ar-SA"/>
        </w:rPr>
        <w:t>统筹</w:t>
      </w:r>
      <w:r>
        <w:rPr>
          <w:rFonts w:hint="eastAsia" w:ascii="Times New Roman" w:hAnsi="Times New Roman" w:eastAsia="仿宋_GB2312" w:cs="Times New Roman"/>
          <w:kern w:val="2"/>
          <w:sz w:val="32"/>
          <w:szCs w:val="32"/>
          <w:highlight w:val="none"/>
          <w:lang w:val="en-US" w:eastAsia="zh-CN" w:bidi="ar-SA"/>
        </w:rPr>
        <w:t>做好水库山塘</w:t>
      </w:r>
      <w:r>
        <w:rPr>
          <w:rFonts w:hint="default" w:ascii="Times New Roman" w:hAnsi="Times New Roman" w:eastAsia="仿宋_GB2312" w:cs="Times New Roman"/>
          <w:kern w:val="2"/>
          <w:sz w:val="32"/>
          <w:szCs w:val="32"/>
          <w:highlight w:val="none"/>
          <w:lang w:val="en-US" w:eastAsia="zh-CN" w:bidi="ar-SA"/>
        </w:rPr>
        <w:t>水资源调度</w:t>
      </w:r>
      <w:r>
        <w:rPr>
          <w:rFonts w:hint="eastAsia" w:ascii="Times New Roman" w:hAnsi="Times New Roman" w:eastAsia="仿宋_GB2312" w:cs="Times New Roman"/>
          <w:kern w:val="2"/>
          <w:sz w:val="32"/>
          <w:szCs w:val="32"/>
          <w:highlight w:val="none"/>
          <w:lang w:val="en-US" w:eastAsia="zh-CN" w:bidi="ar-SA"/>
        </w:rPr>
        <w:t>与安全管理，会同发展改革部门开展用水权价值核算；</w:t>
      </w:r>
      <w:r>
        <w:rPr>
          <w:rFonts w:hint="default" w:ascii="Times New Roman" w:hAnsi="Times New Roman" w:eastAsia="仿宋_GB2312" w:cs="Times New Roman"/>
          <w:kern w:val="2"/>
          <w:sz w:val="32"/>
          <w:szCs w:val="32"/>
          <w:highlight w:val="none"/>
          <w:lang w:val="en-US" w:eastAsia="zh-CN" w:bidi="ar-SA"/>
        </w:rPr>
        <w:t>发</w:t>
      </w:r>
      <w:r>
        <w:rPr>
          <w:rFonts w:hint="eastAsia" w:ascii="Times New Roman" w:hAnsi="Times New Roman" w:eastAsia="仿宋_GB2312" w:cs="Times New Roman"/>
          <w:kern w:val="2"/>
          <w:sz w:val="32"/>
          <w:szCs w:val="32"/>
          <w:highlight w:val="none"/>
          <w:lang w:val="en-US" w:eastAsia="zh-CN" w:bidi="ar-SA"/>
        </w:rPr>
        <w:t>展改革部门配合</w:t>
      </w:r>
      <w:r>
        <w:rPr>
          <w:rFonts w:hint="default" w:ascii="Times New Roman" w:hAnsi="Times New Roman" w:eastAsia="仿宋_GB2312" w:cs="Times New Roman"/>
          <w:kern w:val="2"/>
          <w:sz w:val="32"/>
          <w:szCs w:val="32"/>
          <w:highlight w:val="none"/>
          <w:lang w:val="en-US" w:eastAsia="zh-CN" w:bidi="ar-SA"/>
        </w:rPr>
        <w:t>开展用水权价值核算</w:t>
      </w:r>
      <w:r>
        <w:rPr>
          <w:rFonts w:hint="eastAsia" w:ascii="Times New Roman" w:hAnsi="Times New Roman" w:eastAsia="仿宋_GB2312" w:cs="Times New Roman"/>
          <w:kern w:val="2"/>
          <w:sz w:val="32"/>
          <w:szCs w:val="32"/>
          <w:highlight w:val="none"/>
          <w:lang w:val="en-US" w:eastAsia="zh-CN" w:bidi="ar-SA"/>
        </w:rPr>
        <w:t>，支持相关重大项目审批；自然资源和规划部门指导水库山塘不动产权证办理以及涉水库山塘项目综合开发项目的</w:t>
      </w:r>
      <w:r>
        <w:rPr>
          <w:rFonts w:hint="default" w:ascii="Times New Roman" w:hAnsi="Times New Roman" w:eastAsia="仿宋_GB2312" w:cs="Times New Roman"/>
          <w:kern w:val="2"/>
          <w:sz w:val="32"/>
          <w:szCs w:val="32"/>
          <w:highlight w:val="none"/>
          <w:lang w:val="en-US" w:eastAsia="zh-CN" w:bidi="ar-SA"/>
        </w:rPr>
        <w:t>规划与用地</w:t>
      </w:r>
      <w:r>
        <w:rPr>
          <w:rFonts w:hint="eastAsia" w:ascii="Times New Roman" w:hAnsi="Times New Roman" w:eastAsia="仿宋_GB2312" w:cs="Times New Roman"/>
          <w:kern w:val="2"/>
          <w:sz w:val="32"/>
          <w:szCs w:val="32"/>
          <w:highlight w:val="none"/>
          <w:lang w:val="en-US" w:eastAsia="zh-CN" w:bidi="ar-SA"/>
        </w:rPr>
        <w:t>审批；</w:t>
      </w:r>
      <w:r>
        <w:rPr>
          <w:rFonts w:hint="default" w:ascii="Times New Roman" w:hAnsi="Times New Roman" w:eastAsia="仿宋_GB2312" w:cs="Times New Roman"/>
          <w:kern w:val="2"/>
          <w:sz w:val="32"/>
          <w:szCs w:val="32"/>
          <w:highlight w:val="none"/>
          <w:lang w:val="en-US" w:eastAsia="zh-CN" w:bidi="ar-SA"/>
        </w:rPr>
        <w:t>农业农村</w:t>
      </w:r>
      <w:r>
        <w:rPr>
          <w:rFonts w:hint="eastAsia" w:ascii="Times New Roman" w:hAnsi="Times New Roman" w:eastAsia="仿宋_GB2312" w:cs="Times New Roman"/>
          <w:kern w:val="2"/>
          <w:sz w:val="32"/>
          <w:szCs w:val="32"/>
          <w:highlight w:val="none"/>
          <w:lang w:val="en-US" w:eastAsia="zh-CN" w:bidi="ar-SA"/>
        </w:rPr>
        <w:t>部门会同水利部门指导用水权流转以及涉水库山塘农业项目开发；</w:t>
      </w:r>
      <w:r>
        <w:rPr>
          <w:rFonts w:hint="default" w:ascii="Times New Roman" w:hAnsi="Times New Roman" w:eastAsia="仿宋_GB2312" w:cs="Times New Roman"/>
          <w:kern w:val="2"/>
          <w:sz w:val="32"/>
          <w:szCs w:val="32"/>
          <w:highlight w:val="none"/>
          <w:lang w:val="en-US" w:eastAsia="zh-CN" w:bidi="ar-SA"/>
        </w:rPr>
        <w:t>文化广电旅游</w:t>
      </w:r>
      <w:r>
        <w:rPr>
          <w:rFonts w:hint="eastAsia" w:ascii="Times New Roman" w:hAnsi="Times New Roman" w:eastAsia="仿宋_GB2312" w:cs="Times New Roman"/>
          <w:kern w:val="2"/>
          <w:sz w:val="32"/>
          <w:szCs w:val="32"/>
          <w:highlight w:val="none"/>
          <w:lang w:val="en-US" w:eastAsia="zh-CN" w:bidi="ar-SA"/>
        </w:rPr>
        <w:t>部门指导支持水库山塘文旅项目活动。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楷体" w:hAnsi="楷体" w:eastAsia="楷体" w:cs="楷体"/>
          <w:b w:val="0"/>
          <w:bCs w:val="0"/>
          <w:sz w:val="32"/>
          <w:szCs w:val="32"/>
          <w:highlight w:val="none"/>
          <w:lang w:val="en-US" w:eastAsia="zh-CN"/>
        </w:rPr>
        <w:t>（三）统筹水资源调度与安全管理。</w:t>
      </w:r>
      <w:r>
        <w:rPr>
          <w:rFonts w:hint="eastAsia" w:ascii="Times New Roman" w:hAnsi="Times New Roman" w:eastAsia="仿宋_GB2312" w:cs="Times New Roman"/>
          <w:kern w:val="2"/>
          <w:sz w:val="32"/>
          <w:szCs w:val="32"/>
          <w:highlight w:val="none"/>
          <w:lang w:val="en-US" w:eastAsia="zh-CN" w:bidi="ar-SA"/>
        </w:rPr>
        <w:t>用水权流转时需考虑相关利益方用水权益，优先保障设计功能发挥，不得挤占农村饮用水、基本农田灌溉用水和生态用水。防汛抗旱期间应当服从水行政主管部门的统一调度管理。水库山塘开发利用应满足工程安全、防洪安全、水资源保护要求并服从管理，不得影响工程调度运用与运行管护。</w:t>
      </w:r>
    </w:p>
    <w:p>
      <w:pPr>
        <w:pStyle w:val="14"/>
        <w:keepNext w:val="0"/>
        <w:keepLines w:val="0"/>
        <w:pageBreakBefore w:val="0"/>
        <w:shd w:val="clea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楷体" w:hAnsi="楷体" w:eastAsia="楷体" w:cs="楷体"/>
          <w:b w:val="0"/>
          <w:bCs w:val="0"/>
          <w:sz w:val="32"/>
          <w:szCs w:val="32"/>
          <w:highlight w:val="none"/>
          <w:lang w:val="en-US" w:eastAsia="zh-CN"/>
        </w:rPr>
        <w:t>（四）加</w:t>
      </w:r>
      <w:r>
        <w:rPr>
          <w:rFonts w:hint="eastAsia" w:ascii="楷体" w:hAnsi="楷体" w:eastAsia="楷体" w:cs="楷体"/>
          <w:b w:val="0"/>
          <w:bCs w:val="0"/>
          <w:sz w:val="32"/>
          <w:szCs w:val="32"/>
          <w:highlight w:val="none"/>
          <w:lang w:val="en-US" w:eastAsia="zh-CN"/>
        </w:rPr>
        <w:t>大</w:t>
      </w:r>
      <w:r>
        <w:rPr>
          <w:rFonts w:hint="default" w:ascii="楷体" w:hAnsi="楷体" w:eastAsia="楷体" w:cs="楷体"/>
          <w:b w:val="0"/>
          <w:bCs w:val="0"/>
          <w:sz w:val="32"/>
          <w:szCs w:val="32"/>
          <w:highlight w:val="none"/>
          <w:lang w:val="en-US" w:eastAsia="zh-CN"/>
        </w:rPr>
        <w:t>宣传</w:t>
      </w:r>
      <w:r>
        <w:rPr>
          <w:rFonts w:hint="eastAsia" w:ascii="楷体" w:hAnsi="楷体" w:eastAsia="楷体" w:cs="楷体"/>
          <w:b w:val="0"/>
          <w:bCs w:val="0"/>
          <w:sz w:val="32"/>
          <w:szCs w:val="32"/>
          <w:highlight w:val="none"/>
          <w:lang w:val="en-US" w:eastAsia="zh-CN"/>
        </w:rPr>
        <w:t>引导</w:t>
      </w:r>
      <w:r>
        <w:rPr>
          <w:rFonts w:hint="default" w:ascii="楷体" w:hAnsi="楷体" w:eastAsia="楷体" w:cs="楷体"/>
          <w:b w:val="0"/>
          <w:bCs w:val="0"/>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适时公开用水权改革有关信息，加大对用水权改革工作的宣传报道，充分调动取用水户参与用水权改革工作的积极性。及时总结推广各</w:t>
      </w:r>
      <w:r>
        <w:rPr>
          <w:rFonts w:hint="eastAsia" w:eastAsia="仿宋_GB2312" w:cs="Times New Roman"/>
          <w:kern w:val="2"/>
          <w:sz w:val="32"/>
          <w:szCs w:val="32"/>
          <w:highlight w:val="none"/>
          <w:lang w:val="en-US" w:eastAsia="zh-CN" w:bidi="ar-SA"/>
        </w:rPr>
        <w:t>县（市、区）</w:t>
      </w:r>
      <w:r>
        <w:rPr>
          <w:rFonts w:hint="default" w:ascii="Times New Roman" w:hAnsi="Times New Roman" w:eastAsia="仿宋_GB2312" w:cs="Times New Roman"/>
          <w:kern w:val="2"/>
          <w:sz w:val="32"/>
          <w:szCs w:val="32"/>
          <w:highlight w:val="none"/>
          <w:lang w:val="en-US" w:eastAsia="zh-CN" w:bidi="ar-SA"/>
        </w:rPr>
        <w:t>在用水权改革方面的经验做法，营造推进农村山塘水库用水权改革的良好氛围。</w:t>
      </w: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320" w:firstLineChars="100"/>
        <w:jc w:val="both"/>
        <w:textAlignment w:val="auto"/>
        <w:rPr>
          <w:rFonts w:hint="eastAsia" w:ascii="Times New Roman" w:hAnsi="Times New Roman" w:eastAsia="仿宋_GB2312" w:cs="Times New Roman"/>
          <w:b w:val="0"/>
          <w:bCs w:val="0"/>
          <w:kern w:val="2"/>
          <w:sz w:val="32"/>
          <w:szCs w:val="32"/>
          <w:highlight w:val="none"/>
          <w:lang w:val="en-US" w:eastAsia="zh-CN"/>
        </w:rPr>
      </w:pP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320" w:firstLineChars="100"/>
        <w:jc w:val="both"/>
        <w:textAlignment w:val="auto"/>
        <w:rPr>
          <w:rFonts w:hint="eastAsia" w:ascii="Times New Roman" w:hAnsi="Times New Roman" w:eastAsia="仿宋_GB2312" w:cs="Times New Roman"/>
          <w:b w:val="0"/>
          <w:bCs w:val="0"/>
          <w:kern w:val="2"/>
          <w:sz w:val="32"/>
          <w:szCs w:val="32"/>
          <w:highlight w:val="none"/>
          <w:lang w:val="en-US" w:eastAsia="zh-CN"/>
        </w:rPr>
      </w:pP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w w:val="90"/>
          <w:kern w:val="2"/>
          <w:sz w:val="32"/>
          <w:szCs w:val="32"/>
          <w:highlight w:val="none"/>
          <w:lang w:val="en-US" w:eastAsia="zh-CN"/>
        </w:rPr>
      </w:pPr>
      <w:r>
        <w:rPr>
          <w:rFonts w:hint="eastAsia" w:ascii="Times New Roman" w:hAnsi="Times New Roman" w:eastAsia="仿宋_GB2312" w:cs="Times New Roman"/>
          <w:b w:val="0"/>
          <w:bCs w:val="0"/>
          <w:kern w:val="2"/>
          <w:sz w:val="32"/>
          <w:szCs w:val="32"/>
          <w:highlight w:val="none"/>
          <w:lang w:val="en-US" w:eastAsia="zh-CN"/>
        </w:rPr>
        <w:t>附件：</w:t>
      </w:r>
      <w:r>
        <w:rPr>
          <w:rFonts w:hint="eastAsia" w:ascii="Times New Roman" w:hAnsi="Times New Roman" w:eastAsia="仿宋_GB2312" w:cs="Times New Roman"/>
          <w:b w:val="0"/>
          <w:bCs w:val="0"/>
          <w:w w:val="90"/>
          <w:kern w:val="2"/>
          <w:sz w:val="32"/>
          <w:szCs w:val="32"/>
          <w:highlight w:val="none"/>
          <w:lang w:val="en-US" w:eastAsia="zh-CN"/>
        </w:rPr>
        <w:t>1.温州市农村集体水库山塘用水权确权登记指南（试行）</w:t>
      </w: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1440" w:firstLineChars="500"/>
        <w:jc w:val="both"/>
        <w:textAlignment w:val="auto"/>
        <w:rPr>
          <w:rFonts w:hint="default" w:ascii="Times New Roman" w:hAnsi="Times New Roman" w:eastAsia="仿宋_GB2312" w:cs="Times New Roman"/>
          <w:b w:val="0"/>
          <w:bCs w:val="0"/>
          <w:w w:val="90"/>
          <w:kern w:val="2"/>
          <w:sz w:val="32"/>
          <w:szCs w:val="32"/>
          <w:highlight w:val="none"/>
          <w:lang w:val="en-US" w:eastAsia="zh-CN"/>
        </w:rPr>
      </w:pPr>
      <w:r>
        <w:rPr>
          <w:rFonts w:hint="default" w:ascii="Times New Roman" w:hAnsi="Times New Roman" w:eastAsia="仿宋_GB2312" w:cs="Times New Roman"/>
          <w:b w:val="0"/>
          <w:bCs w:val="0"/>
          <w:w w:val="90"/>
          <w:kern w:val="2"/>
          <w:sz w:val="32"/>
          <w:szCs w:val="32"/>
          <w:highlight w:val="none"/>
          <w:lang w:val="en-US" w:eastAsia="zh-CN"/>
        </w:rPr>
        <w:t>2</w:t>
      </w:r>
      <w:r>
        <w:rPr>
          <w:rFonts w:hint="eastAsia" w:ascii="Times New Roman" w:hAnsi="Times New Roman" w:eastAsia="仿宋_GB2312" w:cs="Times New Roman"/>
          <w:b w:val="0"/>
          <w:bCs w:val="0"/>
          <w:w w:val="90"/>
          <w:kern w:val="2"/>
          <w:sz w:val="32"/>
          <w:szCs w:val="32"/>
          <w:highlight w:val="none"/>
          <w:lang w:val="en-US" w:eastAsia="zh-CN"/>
        </w:rPr>
        <w:t>.温州</w:t>
      </w:r>
      <w:r>
        <w:rPr>
          <w:rFonts w:hint="default" w:ascii="Times New Roman" w:hAnsi="Times New Roman" w:eastAsia="仿宋_GB2312" w:cs="Times New Roman"/>
          <w:b w:val="0"/>
          <w:bCs w:val="0"/>
          <w:w w:val="90"/>
          <w:kern w:val="2"/>
          <w:sz w:val="32"/>
          <w:szCs w:val="32"/>
          <w:highlight w:val="none"/>
          <w:lang w:val="en-US" w:eastAsia="zh-CN"/>
        </w:rPr>
        <w:t>市</w:t>
      </w:r>
      <w:r>
        <w:rPr>
          <w:rFonts w:hint="default" w:ascii="Times New Roman" w:hAnsi="Times New Roman" w:eastAsia="仿宋_GB2312" w:cs="Times New Roman"/>
          <w:b w:val="0"/>
          <w:bCs w:val="0"/>
          <w:w w:val="90"/>
          <w:kern w:val="2"/>
          <w:sz w:val="32"/>
          <w:szCs w:val="32"/>
          <w:highlight w:val="none"/>
        </w:rPr>
        <w:t>农村集体水库山塘用水权价值核算指引</w:t>
      </w:r>
      <w:r>
        <w:rPr>
          <w:rFonts w:hint="default" w:ascii="Times New Roman" w:hAnsi="Times New Roman" w:eastAsia="仿宋_GB2312" w:cs="Times New Roman"/>
          <w:b w:val="0"/>
          <w:bCs w:val="0"/>
          <w:w w:val="90"/>
          <w:kern w:val="2"/>
          <w:sz w:val="32"/>
          <w:szCs w:val="32"/>
          <w:highlight w:val="none"/>
          <w:lang w:eastAsia="zh-CN"/>
        </w:rPr>
        <w:t>（</w:t>
      </w:r>
      <w:r>
        <w:rPr>
          <w:rFonts w:hint="default" w:ascii="Times New Roman" w:hAnsi="Times New Roman" w:eastAsia="仿宋_GB2312" w:cs="Times New Roman"/>
          <w:b w:val="0"/>
          <w:bCs w:val="0"/>
          <w:w w:val="90"/>
          <w:kern w:val="2"/>
          <w:sz w:val="32"/>
          <w:szCs w:val="32"/>
          <w:highlight w:val="none"/>
          <w:lang w:val="en-US" w:eastAsia="zh-CN"/>
        </w:rPr>
        <w:t>试行</w:t>
      </w:r>
      <w:r>
        <w:rPr>
          <w:rFonts w:hint="default" w:ascii="Times New Roman" w:hAnsi="Times New Roman" w:eastAsia="仿宋_GB2312" w:cs="Times New Roman"/>
          <w:b w:val="0"/>
          <w:bCs w:val="0"/>
          <w:w w:val="90"/>
          <w:kern w:val="2"/>
          <w:sz w:val="32"/>
          <w:szCs w:val="32"/>
          <w:highlight w:val="none"/>
          <w:lang w:eastAsia="zh-CN"/>
        </w:rPr>
        <w:t>）</w:t>
      </w: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1440" w:firstLineChars="500"/>
        <w:jc w:val="both"/>
        <w:textAlignment w:val="auto"/>
        <w:rPr>
          <w:rFonts w:hint="default" w:ascii="Times New Roman" w:hAnsi="Times New Roman" w:eastAsia="仿宋_GB2312" w:cs="Times New Roman"/>
          <w:b w:val="0"/>
          <w:bCs w:val="0"/>
          <w:w w:val="90"/>
          <w:kern w:val="2"/>
          <w:sz w:val="32"/>
          <w:szCs w:val="32"/>
          <w:highlight w:val="none"/>
          <w:lang w:eastAsia="zh-CN"/>
        </w:rPr>
      </w:pPr>
      <w:r>
        <w:rPr>
          <w:rFonts w:hint="eastAsia" w:ascii="Times New Roman" w:hAnsi="Times New Roman" w:eastAsia="仿宋_GB2312" w:cs="Times New Roman"/>
          <w:w w:val="90"/>
          <w:kern w:val="2"/>
          <w:sz w:val="32"/>
          <w:szCs w:val="32"/>
          <w:highlight w:val="none"/>
          <w:lang w:val="en-US" w:eastAsia="zh-CN" w:bidi="ar-SA"/>
        </w:rPr>
        <w:t>3.</w:t>
      </w:r>
      <w:r>
        <w:rPr>
          <w:rFonts w:hint="eastAsia" w:ascii="Times New Roman" w:hAnsi="Times New Roman" w:eastAsia="仿宋_GB2312" w:cs="Times New Roman"/>
          <w:b w:val="0"/>
          <w:bCs w:val="0"/>
          <w:w w:val="90"/>
          <w:kern w:val="2"/>
          <w:sz w:val="32"/>
          <w:szCs w:val="32"/>
          <w:highlight w:val="none"/>
          <w:lang w:val="en-US" w:eastAsia="zh-CN"/>
        </w:rPr>
        <w:t>温州</w:t>
      </w:r>
      <w:r>
        <w:rPr>
          <w:rFonts w:hint="default" w:ascii="Times New Roman" w:hAnsi="Times New Roman" w:eastAsia="仿宋_GB2312" w:cs="Times New Roman"/>
          <w:b w:val="0"/>
          <w:bCs w:val="0"/>
          <w:w w:val="90"/>
          <w:kern w:val="2"/>
          <w:sz w:val="32"/>
          <w:szCs w:val="32"/>
          <w:highlight w:val="none"/>
          <w:lang w:val="en-US" w:eastAsia="zh-CN"/>
        </w:rPr>
        <w:t>市</w:t>
      </w:r>
      <w:r>
        <w:rPr>
          <w:rFonts w:hint="default" w:ascii="Times New Roman" w:hAnsi="Times New Roman" w:eastAsia="仿宋_GB2312" w:cs="Times New Roman"/>
          <w:b w:val="0"/>
          <w:bCs w:val="0"/>
          <w:w w:val="90"/>
          <w:kern w:val="2"/>
          <w:sz w:val="32"/>
          <w:szCs w:val="32"/>
          <w:highlight w:val="none"/>
        </w:rPr>
        <w:t>农村集体水库山塘用水权</w:t>
      </w:r>
      <w:r>
        <w:rPr>
          <w:rFonts w:hint="eastAsia" w:ascii="Times New Roman" w:hAnsi="Times New Roman" w:eastAsia="仿宋_GB2312" w:cs="Times New Roman"/>
          <w:b w:val="0"/>
          <w:bCs w:val="0"/>
          <w:w w:val="90"/>
          <w:kern w:val="2"/>
          <w:sz w:val="32"/>
          <w:szCs w:val="32"/>
          <w:highlight w:val="none"/>
          <w:lang w:val="en-US" w:eastAsia="zh-CN"/>
        </w:rPr>
        <w:t>流转</w:t>
      </w:r>
      <w:r>
        <w:rPr>
          <w:rFonts w:hint="default" w:ascii="Times New Roman" w:hAnsi="Times New Roman" w:eastAsia="仿宋_GB2312" w:cs="Times New Roman"/>
          <w:b w:val="0"/>
          <w:bCs w:val="0"/>
          <w:w w:val="90"/>
          <w:kern w:val="2"/>
          <w:sz w:val="32"/>
          <w:szCs w:val="32"/>
          <w:highlight w:val="none"/>
          <w:lang w:val="en-US" w:eastAsia="zh-CN"/>
        </w:rPr>
        <w:t>指南</w:t>
      </w:r>
      <w:r>
        <w:rPr>
          <w:rFonts w:hint="default" w:ascii="Times New Roman" w:hAnsi="Times New Roman" w:eastAsia="仿宋_GB2312" w:cs="Times New Roman"/>
          <w:b w:val="0"/>
          <w:bCs w:val="0"/>
          <w:w w:val="90"/>
          <w:kern w:val="2"/>
          <w:sz w:val="32"/>
          <w:szCs w:val="32"/>
          <w:highlight w:val="none"/>
          <w:lang w:eastAsia="zh-CN"/>
        </w:rPr>
        <w:t>（</w:t>
      </w:r>
      <w:r>
        <w:rPr>
          <w:rFonts w:hint="default" w:ascii="Times New Roman" w:hAnsi="Times New Roman" w:eastAsia="仿宋_GB2312" w:cs="Times New Roman"/>
          <w:b w:val="0"/>
          <w:bCs w:val="0"/>
          <w:w w:val="90"/>
          <w:kern w:val="2"/>
          <w:sz w:val="32"/>
          <w:szCs w:val="32"/>
          <w:highlight w:val="none"/>
          <w:lang w:val="en-US" w:eastAsia="zh-CN"/>
        </w:rPr>
        <w:t>试行</w:t>
      </w:r>
      <w:r>
        <w:rPr>
          <w:rFonts w:hint="default" w:ascii="Times New Roman" w:hAnsi="Times New Roman" w:eastAsia="仿宋_GB2312" w:cs="Times New Roman"/>
          <w:b w:val="0"/>
          <w:bCs w:val="0"/>
          <w:w w:val="90"/>
          <w:kern w:val="2"/>
          <w:sz w:val="32"/>
          <w:szCs w:val="32"/>
          <w:highlight w:val="none"/>
          <w:lang w:eastAsia="zh-CN"/>
        </w:rPr>
        <w:t>）</w:t>
      </w: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1440" w:firstLineChars="500"/>
        <w:jc w:val="both"/>
        <w:textAlignment w:val="auto"/>
        <w:rPr>
          <w:rFonts w:hint="eastAsia" w:ascii="Times New Roman" w:hAnsi="Times New Roman" w:eastAsia="仿宋_GB2312" w:cs="Times New Roman"/>
          <w:b w:val="0"/>
          <w:bCs w:val="0"/>
          <w:w w:val="90"/>
          <w:kern w:val="2"/>
          <w:sz w:val="32"/>
          <w:szCs w:val="32"/>
          <w:highlight w:val="none"/>
          <w:lang w:val="en-US" w:eastAsia="zh-CN"/>
        </w:rPr>
      </w:pPr>
      <w:r>
        <w:rPr>
          <w:rFonts w:hint="eastAsia" w:ascii="Times New Roman" w:hAnsi="Times New Roman" w:eastAsia="仿宋_GB2312" w:cs="Times New Roman"/>
          <w:b w:val="0"/>
          <w:bCs w:val="0"/>
          <w:w w:val="90"/>
          <w:kern w:val="2"/>
          <w:sz w:val="32"/>
          <w:szCs w:val="32"/>
          <w:highlight w:val="none"/>
          <w:lang w:val="en-US" w:eastAsia="zh-CN"/>
        </w:rPr>
        <w:t>4.农村集体山塘水库用水权确权审核意见表</w:t>
      </w:r>
    </w:p>
    <w:p>
      <w:pPr>
        <w:pStyle w:val="21"/>
        <w:keepNext w:val="0"/>
        <w:keepLines w:val="0"/>
        <w:pageBreakBefore w:val="0"/>
        <w:widowControl/>
        <w:shd w:val="clear"/>
        <w:kinsoku/>
        <w:wordWrap/>
        <w:overflowPunct/>
        <w:topLinePunct w:val="0"/>
        <w:autoSpaceDE/>
        <w:autoSpaceDN/>
        <w:bidi w:val="0"/>
        <w:adjustRightInd/>
        <w:snapToGrid w:val="0"/>
        <w:spacing w:line="560" w:lineRule="exact"/>
        <w:ind w:firstLine="1440" w:firstLineChars="500"/>
        <w:jc w:val="both"/>
        <w:textAlignment w:val="auto"/>
        <w:rPr>
          <w:rFonts w:hint="default" w:ascii="Times New Roman" w:hAnsi="Times New Roman" w:eastAsia="仿宋_GB2312" w:cs="Times New Roman"/>
          <w:b w:val="0"/>
          <w:bCs w:val="0"/>
          <w:w w:val="90"/>
          <w:kern w:val="2"/>
          <w:sz w:val="32"/>
          <w:szCs w:val="32"/>
          <w:highlight w:val="none"/>
          <w:lang w:val="en-US" w:eastAsia="zh-CN"/>
        </w:rPr>
      </w:pPr>
    </w:p>
    <w:p>
      <w:pPr>
        <w:shd w:val="clear"/>
        <w:rPr>
          <w:rFonts w:hint="eastAsia" w:ascii="宋体" w:hAnsi="宋体" w:eastAsia="CESI仿宋-GB13000" w:cs="CESI仿宋-GB13000"/>
          <w:sz w:val="32"/>
          <w:szCs w:val="32"/>
          <w:highlight w:val="none"/>
          <w:lang w:val="en-US" w:eastAsia="zh-CN"/>
        </w:rPr>
      </w:pPr>
    </w:p>
    <w:p>
      <w:pPr>
        <w:pStyle w:val="14"/>
        <w:shd w:val="clear"/>
        <w:spacing w:line="560" w:lineRule="exact"/>
        <w:ind w:firstLine="0" w:firstLineChars="0"/>
        <w:jc w:val="left"/>
        <w:rPr>
          <w:rFonts w:hint="eastAsia" w:ascii="宋体" w:hAnsi="宋体" w:eastAsia="CESI仿宋-GB13000" w:cs="CESI仿宋-GB13000"/>
          <w:sz w:val="32"/>
          <w:szCs w:val="32"/>
          <w:highlight w:val="none"/>
          <w:lang w:val="en-US" w:eastAsia="zh-CN"/>
        </w:rPr>
      </w:pPr>
    </w:p>
    <w:p>
      <w:pPr>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snapToGrid w:val="0"/>
        <w:spacing w:line="560" w:lineRule="exact"/>
        <w:jc w:val="both"/>
        <w:outlineLvl w:val="0"/>
        <w:rPr>
          <w:rFonts w:hint="default"/>
          <w:lang w:val="en-US" w:eastAsia="zh-CN"/>
        </w:rPr>
      </w:pPr>
      <w:r>
        <w:rPr>
          <w:rFonts w:hint="eastAsia" w:ascii="黑体" w:hAnsi="黑体" w:eastAsia="黑体" w:cs="黑体"/>
          <w:b w:val="0"/>
          <w:bCs w:val="0"/>
          <w:kern w:val="2"/>
          <w:sz w:val="32"/>
          <w:szCs w:val="32"/>
          <w:highlight w:val="none"/>
          <w:lang w:val="en-US" w:eastAsia="zh-CN" w:bidi="ar-SA"/>
        </w:rPr>
        <w:t>附件1</w:t>
      </w:r>
    </w:p>
    <w:p>
      <w:pPr>
        <w:snapToGrid w:val="0"/>
        <w:spacing w:line="560" w:lineRule="exact"/>
        <w:jc w:val="center"/>
        <w:outlineLvl w:val="0"/>
        <w:rPr>
          <w:rFonts w:hint="default" w:ascii="Times New Roman" w:hAnsi="Times New Roman" w:eastAsia="方正小标宋简体" w:cs="Times New Roman"/>
          <w:spacing w:val="-6"/>
          <w:sz w:val="36"/>
          <w:szCs w:val="36"/>
        </w:rPr>
      </w:pPr>
      <w:r>
        <w:rPr>
          <w:rFonts w:hint="eastAsia" w:ascii="Times New Roman" w:hAnsi="Times New Roman" w:eastAsia="方正小标宋简体" w:cs="Times New Roman"/>
          <w:spacing w:val="-6"/>
          <w:sz w:val="36"/>
          <w:szCs w:val="36"/>
          <w:lang w:val="en-US" w:eastAsia="zh-CN"/>
        </w:rPr>
        <w:t>温州</w:t>
      </w:r>
      <w:r>
        <w:rPr>
          <w:rFonts w:hint="default" w:ascii="Times New Roman" w:hAnsi="Times New Roman" w:eastAsia="方正小标宋简体" w:cs="Times New Roman"/>
          <w:spacing w:val="-6"/>
          <w:sz w:val="36"/>
          <w:szCs w:val="36"/>
          <w:lang w:val="en-US" w:eastAsia="zh-CN"/>
        </w:rPr>
        <w:t>市</w:t>
      </w:r>
      <w:r>
        <w:rPr>
          <w:rFonts w:hint="default" w:ascii="Times New Roman" w:hAnsi="Times New Roman" w:eastAsia="方正小标宋简体" w:cs="Times New Roman"/>
          <w:spacing w:val="-6"/>
          <w:sz w:val="36"/>
          <w:szCs w:val="36"/>
        </w:rPr>
        <w:t>农村集体水库山塘用水权确权</w:t>
      </w:r>
    </w:p>
    <w:p>
      <w:pPr>
        <w:snapToGrid w:val="0"/>
        <w:spacing w:line="560" w:lineRule="exact"/>
        <w:jc w:val="center"/>
        <w:outlineLvl w:val="0"/>
      </w:pPr>
      <w:r>
        <w:rPr>
          <w:rFonts w:hint="default" w:ascii="Times New Roman" w:hAnsi="Times New Roman" w:eastAsia="方正小标宋简体" w:cs="Times New Roman"/>
          <w:spacing w:val="-6"/>
          <w:sz w:val="36"/>
          <w:szCs w:val="36"/>
          <w:lang w:val="en-US" w:eastAsia="zh-CN"/>
        </w:rPr>
        <w:t>登记指南</w:t>
      </w:r>
      <w:r>
        <w:rPr>
          <w:rFonts w:hint="default" w:ascii="Times New Roman" w:hAnsi="Times New Roman" w:eastAsia="方正小标宋简体" w:cs="Times New Roman"/>
          <w:sz w:val="36"/>
          <w:szCs w:val="36"/>
        </w:rPr>
        <w:t>（试行）</w:t>
      </w:r>
    </w:p>
    <w:p>
      <w:pPr>
        <w:pStyle w:val="14"/>
        <w:overflowPunct w:val="0"/>
        <w:snapToGrid w:val="0"/>
        <w:spacing w:before="251" w:beforeLines="80"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第一条 </w:t>
      </w:r>
      <w:r>
        <w:rPr>
          <w:rFonts w:hint="default" w:ascii="Times New Roman" w:hAnsi="Times New Roman" w:eastAsia="仿宋_GB2312" w:cs="Times New Roman"/>
          <w:sz w:val="32"/>
          <w:szCs w:val="32"/>
        </w:rPr>
        <w:t>为积极稳妥推进</w:t>
      </w:r>
      <w:r>
        <w:rPr>
          <w:rFonts w:hint="eastAsia" w:ascii="Times New Roman" w:hAnsi="Times New Roman"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农村集体水库山塘用水权制度改革，规范山塘水库水资源管理，提升水资源节约集约利用水平，根据《中华人民共和国水法》、</w:t>
      </w:r>
      <w:r>
        <w:rPr>
          <w:rFonts w:hint="default" w:ascii="Times New Roman" w:hAnsi="Times New Roman" w:eastAsia="仿宋_GB2312" w:cs="Times New Roman"/>
          <w:sz w:val="32"/>
          <w:szCs w:val="32"/>
          <w:lang w:val="en-US" w:eastAsia="zh-CN"/>
        </w:rPr>
        <w:t>《中华人民共和国农村集体经济组织法》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《取水许可和水资源费征收管理条例》（国务院令第</w:t>
      </w:r>
      <w:r>
        <w:rPr>
          <w:rFonts w:ascii="Times New Roman" w:hAnsi="Times New Roman" w:eastAsia="仿宋_GB2312" w:cs="Times New Roman"/>
          <w:sz w:val="32"/>
          <w:szCs w:val="32"/>
        </w:rPr>
        <w:t>460号）</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《水利部国家发展改革委财政部关于推进用水权改革的指导意见》（水资管〔2022〕333号）</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《浙江省农村集体资产管理条例》等有关法律、法规规定，结合</w:t>
      </w:r>
      <w:r>
        <w:rPr>
          <w:rFonts w:hint="eastAsia" w:ascii="Times New Roman" w:hAnsi="Times New Roman" w:eastAsia="仿宋_GB2312" w:cs="Times New Roman"/>
          <w:sz w:val="32"/>
          <w:szCs w:val="32"/>
          <w:lang w:eastAsia="zh-CN"/>
        </w:rPr>
        <w:t>温州</w:t>
      </w:r>
      <w:r>
        <w:rPr>
          <w:rFonts w:hint="default"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实际，制定本办法</w:t>
      </w:r>
      <w:r>
        <w:rPr>
          <w:rFonts w:hint="default" w:ascii="Times New Roman" w:hAnsi="Times New Roman" w:eastAsia="仿宋_GB2312" w:cs="Times New Roman"/>
          <w:sz w:val="32"/>
          <w:szCs w:val="32"/>
        </w:rPr>
        <w:t>。</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eastAsia="zh-CN"/>
        </w:rPr>
        <w:t>范围内</w:t>
      </w:r>
      <w:r>
        <w:rPr>
          <w:rFonts w:hint="default" w:ascii="Times New Roman" w:hAnsi="Times New Roman" w:eastAsia="仿宋_GB2312" w:cs="Times New Roman"/>
          <w:sz w:val="32"/>
          <w:szCs w:val="32"/>
        </w:rPr>
        <w:t>农村集体经济组织</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山塘</w:t>
      </w:r>
      <w:r>
        <w:rPr>
          <w:rFonts w:hint="default" w:ascii="Times New Roman" w:hAnsi="Times New Roman" w:eastAsia="仿宋_GB2312" w:cs="Times New Roman"/>
          <w:sz w:val="32"/>
          <w:szCs w:val="32"/>
        </w:rPr>
        <w:t>和由农村集体经济组织修建管理的水库（本办法简称农村集体山塘水库）用水权确权</w:t>
      </w:r>
      <w:r>
        <w:rPr>
          <w:rFonts w:hint="default" w:ascii="Times New Roman" w:hAnsi="Times New Roman" w:eastAsia="仿宋_GB2312" w:cs="Times New Roman"/>
          <w:sz w:val="32"/>
          <w:szCs w:val="32"/>
          <w:lang w:val="en-US" w:eastAsia="zh-CN"/>
        </w:rPr>
        <w:t>登记</w:t>
      </w:r>
      <w:r>
        <w:rPr>
          <w:rFonts w:hint="default" w:ascii="Times New Roman" w:hAnsi="Times New Roman" w:eastAsia="仿宋_GB2312" w:cs="Times New Roman"/>
          <w:sz w:val="32"/>
          <w:szCs w:val="32"/>
        </w:rPr>
        <w:t>，适用于本</w:t>
      </w:r>
      <w:r>
        <w:rPr>
          <w:rFonts w:hint="default" w:ascii="Times New Roman" w:hAnsi="Times New Roman" w:eastAsia="仿宋_GB2312" w:cs="Times New Roman"/>
          <w:sz w:val="32"/>
          <w:szCs w:val="32"/>
          <w:lang w:val="en-US" w:eastAsia="zh-CN"/>
        </w:rPr>
        <w:t>指南</w:t>
      </w:r>
      <w:r>
        <w:rPr>
          <w:rFonts w:hint="default" w:ascii="Times New Roman" w:hAnsi="Times New Roman" w:eastAsia="仿宋_GB2312" w:cs="Times New Roman"/>
          <w:sz w:val="32"/>
          <w:szCs w:val="32"/>
        </w:rPr>
        <w:t>。</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农村集体山塘水库用水权确权</w:t>
      </w:r>
      <w:r>
        <w:rPr>
          <w:rFonts w:hint="default" w:ascii="Times New Roman" w:hAnsi="Times New Roman" w:eastAsia="仿宋_GB2312" w:cs="Times New Roman"/>
          <w:sz w:val="32"/>
          <w:szCs w:val="32"/>
          <w:lang w:val="en-US" w:eastAsia="zh-CN"/>
        </w:rPr>
        <w:t>登记</w:t>
      </w:r>
      <w:r>
        <w:rPr>
          <w:rFonts w:hint="default" w:ascii="Times New Roman" w:hAnsi="Times New Roman" w:eastAsia="仿宋_GB2312" w:cs="Times New Roman"/>
          <w:sz w:val="32"/>
          <w:szCs w:val="32"/>
        </w:rPr>
        <w:t>应坚持依法依规、尊重历史、公开透明。</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农村集体山塘水库用水权通过颁发</w:t>
      </w:r>
      <w:r>
        <w:rPr>
          <w:rFonts w:hint="eastAsia"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水</w:t>
      </w:r>
      <w:r>
        <w:rPr>
          <w:rFonts w:hint="eastAsia" w:ascii="Times New Roman" w:hAnsi="Times New Roman" w:eastAsia="仿宋_GB2312" w:cs="Times New Roman"/>
          <w:sz w:val="32"/>
          <w:szCs w:val="32"/>
          <w:lang w:eastAsia="zh-CN"/>
        </w:rPr>
        <w:t>权凭</w:t>
      </w:r>
      <w:r>
        <w:rPr>
          <w:rFonts w:hint="default" w:ascii="Times New Roman" w:hAnsi="Times New Roman" w:eastAsia="仿宋_GB2312" w:cs="Times New Roman"/>
          <w:sz w:val="32"/>
          <w:szCs w:val="32"/>
        </w:rPr>
        <w:t>证予以确认。</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农村集体水库山塘用水权主体应</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《中华人民共和国农村集体经济组织法》</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val="en-US" w:eastAsia="zh-CN"/>
        </w:rPr>
        <w:t>乡镇级农村集体经济组织、村级农村集体经济组织</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组级农村集体经济组织</w:t>
      </w:r>
      <w:r>
        <w:rPr>
          <w:rFonts w:hint="default" w:ascii="Times New Roman" w:hAnsi="Times New Roman" w:eastAsia="仿宋_GB2312" w:cs="Times New Roman"/>
          <w:sz w:val="32"/>
          <w:szCs w:val="32"/>
        </w:rPr>
        <w:t>。</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当农村集体水库山塘涉及多个用水权主体时，用水权权益比例由相关主体协商确定。协商不一致的，由乡镇人民政府（街道办）协调确定。</w:t>
      </w:r>
    </w:p>
    <w:p>
      <w:pPr>
        <w:pStyle w:val="14"/>
        <w:overflowPunct w:val="0"/>
        <w:snapToGrid w:val="0"/>
        <w:spacing w:after="0"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权益比例可根据</w:t>
      </w:r>
      <w:r>
        <w:rPr>
          <w:rFonts w:hint="default" w:ascii="Times New Roman" w:hAnsi="Times New Roman" w:eastAsia="仿宋_GB2312" w:cs="Times New Roman"/>
          <w:sz w:val="32"/>
          <w:szCs w:val="32"/>
          <w:lang w:val="en-US" w:eastAsia="zh-CN"/>
        </w:rPr>
        <w:t>水库山塘的</w:t>
      </w:r>
      <w:r>
        <w:rPr>
          <w:rFonts w:hint="eastAsia" w:ascii="Times New Roman" w:hAnsi="Times New Roman" w:eastAsia="仿宋_GB2312" w:cs="Times New Roman"/>
          <w:sz w:val="32"/>
          <w:szCs w:val="32"/>
          <w:lang w:val="en-US" w:eastAsia="zh-CN"/>
        </w:rPr>
        <w:t>修建出资、</w:t>
      </w:r>
      <w:r>
        <w:rPr>
          <w:rFonts w:hint="default" w:ascii="Times New Roman" w:hAnsi="Times New Roman" w:eastAsia="仿宋_GB2312" w:cs="Times New Roman"/>
          <w:sz w:val="32"/>
          <w:szCs w:val="32"/>
        </w:rPr>
        <w:t>管护责任、占地面积、灌溉面积、现状用水情况等因素综合确定。</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市水利局负责全市农村水库山塘用水权确权登记的业务指导，各</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rPr>
        <w:t>水利局负责实施</w:t>
      </w:r>
      <w:r>
        <w:rPr>
          <w:rFonts w:hint="default" w:ascii="Times New Roman" w:hAnsi="Times New Roman" w:eastAsia="仿宋_GB2312" w:cs="Times New Roman"/>
          <w:sz w:val="32"/>
          <w:szCs w:val="32"/>
          <w:lang w:val="en-US" w:eastAsia="zh-CN"/>
        </w:rPr>
        <w:t>域内</w:t>
      </w:r>
      <w:r>
        <w:rPr>
          <w:rFonts w:hint="default" w:ascii="Times New Roman" w:hAnsi="Times New Roman" w:eastAsia="仿宋_GB2312" w:cs="Times New Roman"/>
          <w:sz w:val="32"/>
          <w:szCs w:val="32"/>
        </w:rPr>
        <w:t>农村水库山塘用水权确权</w:t>
      </w:r>
      <w:r>
        <w:rPr>
          <w:rFonts w:hint="default" w:ascii="Times New Roman" w:hAnsi="Times New Roman" w:eastAsia="仿宋_GB2312" w:cs="Times New Roman"/>
          <w:sz w:val="32"/>
          <w:szCs w:val="32"/>
          <w:lang w:val="en-US" w:eastAsia="zh-CN"/>
        </w:rPr>
        <w:t>登记</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乡镇人民政府（街道办）负责本辖区内用水权确权</w:t>
      </w:r>
      <w:r>
        <w:rPr>
          <w:rFonts w:hint="default" w:ascii="Times New Roman" w:hAnsi="Times New Roman" w:eastAsia="仿宋_GB2312" w:cs="Times New Roman"/>
          <w:sz w:val="32"/>
          <w:szCs w:val="32"/>
          <w:lang w:val="en-US" w:eastAsia="zh-CN"/>
        </w:rPr>
        <w:t>登记</w:t>
      </w:r>
      <w:r>
        <w:rPr>
          <w:rFonts w:hint="default" w:ascii="Times New Roman" w:hAnsi="Times New Roman" w:eastAsia="仿宋_GB2312" w:cs="Times New Roman"/>
          <w:sz w:val="32"/>
          <w:szCs w:val="32"/>
        </w:rPr>
        <w:t>的初审及属地管理工作。</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农村集体</w:t>
      </w:r>
      <w:r>
        <w:rPr>
          <w:rFonts w:hint="default" w:ascii="Times New Roman" w:hAnsi="Times New Roman" w:eastAsia="仿宋_GB2312" w:cs="Times New Roman"/>
          <w:sz w:val="32"/>
          <w:szCs w:val="32"/>
          <w:lang w:val="en-US" w:eastAsia="zh-CN"/>
        </w:rPr>
        <w:t>水库山塘</w:t>
      </w:r>
      <w:r>
        <w:rPr>
          <w:rFonts w:hint="default" w:ascii="Times New Roman" w:hAnsi="Times New Roman" w:eastAsia="仿宋_GB2312" w:cs="Times New Roman"/>
          <w:sz w:val="32"/>
          <w:szCs w:val="32"/>
        </w:rPr>
        <w:t>用水权登记由</w:t>
      </w:r>
      <w:r>
        <w:rPr>
          <w:rFonts w:hint="eastAsia" w:ascii="Times New Roman" w:hAnsi="Times New Roman" w:eastAsia="仿宋_GB2312" w:cs="Times New Roman"/>
          <w:sz w:val="32"/>
          <w:szCs w:val="32"/>
          <w:lang w:eastAsia="zh-CN"/>
        </w:rPr>
        <w:t>相应</w:t>
      </w:r>
      <w:r>
        <w:rPr>
          <w:rFonts w:hint="default" w:ascii="Times New Roman" w:hAnsi="Times New Roman" w:eastAsia="仿宋_GB2312" w:cs="Times New Roman"/>
          <w:sz w:val="32"/>
          <w:szCs w:val="32"/>
        </w:rPr>
        <w:t>农村集体经济组织提出申请，经属地乡镇政府审核后，由县级水行政主管部门发证。农村集体经济组织应当提交下列材料：</w:t>
      </w:r>
    </w:p>
    <w:p>
      <w:pPr>
        <w:pStyle w:val="14"/>
        <w:overflowPunct w:val="0"/>
        <w:snapToGrid w:val="0"/>
        <w:spacing w:after="0" w:line="560" w:lineRule="exact"/>
        <w:ind w:firstLine="627" w:firstLineChars="196"/>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用水权登记</w:t>
      </w:r>
      <w:r>
        <w:rPr>
          <w:rFonts w:hint="default" w:ascii="Times New Roman" w:hAnsi="Times New Roman" w:eastAsia="仿宋_GB2312" w:cs="Times New Roman"/>
          <w:sz w:val="32"/>
          <w:szCs w:val="32"/>
        </w:rPr>
        <w:t>申请</w:t>
      </w:r>
      <w:r>
        <w:rPr>
          <w:rFonts w:hint="eastAsia" w:ascii="Times New Roman" w:hAnsi="Times New Roman" w:eastAsia="仿宋_GB2312" w:cs="Times New Roman"/>
          <w:sz w:val="32"/>
          <w:szCs w:val="32"/>
          <w:lang w:eastAsia="zh-CN"/>
        </w:rPr>
        <w:t>；</w:t>
      </w:r>
    </w:p>
    <w:p>
      <w:pPr>
        <w:pStyle w:val="14"/>
        <w:overflowPunct w:val="0"/>
        <w:snapToGrid w:val="0"/>
        <w:spacing w:after="0" w:line="560" w:lineRule="exact"/>
        <w:ind w:firstLine="627"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所在乡镇（街道）审核意见；</w:t>
      </w:r>
    </w:p>
    <w:p>
      <w:pPr>
        <w:pStyle w:val="14"/>
        <w:overflowPunct w:val="0"/>
        <w:snapToGrid w:val="0"/>
        <w:spacing w:after="0" w:line="560" w:lineRule="exact"/>
        <w:ind w:firstLine="627" w:firstLineChars="196"/>
        <w:rPr>
          <w:rFonts w:hint="default" w:ascii="Times New Roman" w:hAnsi="Times New Roman" w:eastAsia="仿宋_GB2312" w:cs="Times New Roman"/>
          <w:sz w:val="32"/>
          <w:szCs w:val="32"/>
          <w:highlight w:val="cya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工程调查确权成果</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村民代表大会</w:t>
      </w:r>
      <w:r>
        <w:rPr>
          <w:rFonts w:hint="eastAsia"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val="en-US" w:eastAsia="zh-CN"/>
        </w:rPr>
        <w:t>山塘水库</w:t>
      </w:r>
      <w:r>
        <w:rPr>
          <w:rFonts w:hint="default" w:ascii="Times New Roman" w:hAnsi="Times New Roman" w:eastAsia="仿宋_GB2312" w:cs="Times New Roman"/>
          <w:sz w:val="32"/>
          <w:szCs w:val="32"/>
        </w:rPr>
        <w:t>权属情况的决议等用水权益证明材料；</w:t>
      </w:r>
    </w:p>
    <w:p>
      <w:pPr>
        <w:pStyle w:val="14"/>
        <w:overflowPunct w:val="0"/>
        <w:snapToGrid w:val="0"/>
        <w:spacing w:after="0"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）农村集体经济组织登记证、法定代表人身份证明材料。</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农村集体水库山塘的</w:t>
      </w:r>
      <w:r>
        <w:rPr>
          <w:rFonts w:hint="eastAsia" w:ascii="Times New Roman" w:hAnsi="Times New Roman" w:eastAsia="仿宋_GB2312" w:cs="Times New Roman"/>
          <w:sz w:val="32"/>
          <w:szCs w:val="32"/>
          <w:lang w:eastAsia="zh-CN"/>
        </w:rPr>
        <w:t>总可</w:t>
      </w:r>
      <w:r>
        <w:rPr>
          <w:rFonts w:hint="eastAsia" w:ascii="Times New Roman" w:hAnsi="Times New Roman" w:eastAsia="仿宋_GB2312" w:cs="Times New Roman"/>
          <w:sz w:val="32"/>
          <w:szCs w:val="32"/>
          <w:lang w:val="en-US" w:eastAsia="zh-CN"/>
        </w:rPr>
        <w:t>用水</w:t>
      </w:r>
      <w:r>
        <w:rPr>
          <w:rFonts w:hint="default" w:ascii="Times New Roman" w:hAnsi="Times New Roman" w:eastAsia="仿宋_GB2312" w:cs="Times New Roman"/>
          <w:sz w:val="32"/>
          <w:szCs w:val="32"/>
        </w:rPr>
        <w:t>量</w:t>
      </w:r>
      <w:r>
        <w:rPr>
          <w:rFonts w:hint="eastAsia" w:ascii="Times New Roman" w:hAnsi="Times New Roman" w:eastAsia="仿宋_GB2312" w:cs="Times New Roman"/>
          <w:sz w:val="32"/>
          <w:szCs w:val="32"/>
          <w:lang w:eastAsia="zh-CN"/>
        </w:rPr>
        <w:t>（多年平均可供水量）</w:t>
      </w:r>
      <w:r>
        <w:rPr>
          <w:rFonts w:hint="default" w:ascii="Times New Roman" w:hAnsi="Times New Roman" w:eastAsia="仿宋_GB2312" w:cs="Times New Roman"/>
          <w:sz w:val="32"/>
          <w:szCs w:val="32"/>
        </w:rPr>
        <w:t>通过水资源论证确定，水资源论证工作由</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rPr>
        <w:t>水利局统一组织实施。</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农村集体水库山塘用水</w:t>
      </w:r>
      <w:r>
        <w:rPr>
          <w:rFonts w:ascii="Times New Roman" w:hAnsi="Times New Roman" w:eastAsia="仿宋_GB2312" w:cs="Times New Roman"/>
          <w:sz w:val="32"/>
          <w:szCs w:val="32"/>
        </w:rPr>
        <w:t>权保持长期稳定，取水许可证有效期为10年，有效期届满，可申请延续换证。</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用水权益发生变化时，权利主体应向</w:t>
      </w:r>
      <w:r>
        <w:rPr>
          <w:rFonts w:hint="eastAsia" w:ascii="Times New Roman" w:hAnsi="Times New Roman" w:eastAsia="仿宋_GB2312" w:cs="Times New Roman"/>
          <w:sz w:val="32"/>
          <w:szCs w:val="32"/>
          <w:lang w:eastAsia="zh-CN"/>
        </w:rPr>
        <w:t>当地</w:t>
      </w:r>
      <w:r>
        <w:rPr>
          <w:rFonts w:hint="eastAsia" w:ascii="Times New Roman" w:hAnsi="Times New Roman" w:eastAsia="仿宋_GB2312" w:cs="Times New Roman"/>
          <w:sz w:val="32"/>
          <w:szCs w:val="32"/>
          <w:lang w:val="en-US" w:eastAsia="zh-CN"/>
        </w:rPr>
        <w:t>水行政主管部门</w:t>
      </w:r>
      <w:r>
        <w:rPr>
          <w:rFonts w:hint="default" w:ascii="Times New Roman" w:hAnsi="Times New Roman" w:eastAsia="仿宋_GB2312" w:cs="Times New Roman"/>
          <w:sz w:val="32"/>
          <w:szCs w:val="32"/>
        </w:rPr>
        <w:t>登记备案。</w:t>
      </w:r>
    </w:p>
    <w:p>
      <w:pPr>
        <w:pStyle w:val="14"/>
        <w:overflowPunct w:val="0"/>
        <w:snapToGrid w:val="0"/>
        <w:spacing w:after="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指南</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市水利局</w:t>
      </w:r>
      <w:r>
        <w:rPr>
          <w:rFonts w:hint="default" w:ascii="Times New Roman" w:hAnsi="Times New Roman" w:eastAsia="仿宋_GB2312" w:cs="Times New Roman"/>
          <w:sz w:val="32"/>
          <w:szCs w:val="32"/>
        </w:rPr>
        <w:t>负责解释。</w:t>
      </w:r>
    </w:p>
    <w:p>
      <w:pPr>
        <w:pStyle w:val="14"/>
        <w:overflowPunct w:val="0"/>
        <w:snapToGrid w:val="0"/>
        <w:spacing w:before="0" w:after="0" w:line="560" w:lineRule="exact"/>
        <w:ind w:firstLine="629" w:firstLineChars="196"/>
        <w:rPr>
          <w:rFonts w:hint="default" w:ascii="Times New Roman" w:hAnsi="Times New Roman" w:eastAsia="仿宋_GB2312" w:cs="Times New Roman"/>
          <w:b w:val="0"/>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指南</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印发之日</w:t>
      </w:r>
      <w:r>
        <w:rPr>
          <w:rFonts w:hint="default" w:ascii="Times New Roman" w:hAnsi="Times New Roman" w:eastAsia="仿宋_GB2312" w:cs="Times New Roman"/>
          <w:sz w:val="32"/>
          <w:szCs w:val="32"/>
        </w:rPr>
        <w:t>起施行。</w:t>
      </w:r>
    </w:p>
    <w:p>
      <w:pPr>
        <w:snapToGrid w:val="0"/>
        <w:spacing w:line="560" w:lineRule="exact"/>
        <w:jc w:val="both"/>
        <w:outlineLvl w:val="0"/>
        <w:rPr>
          <w:rFonts w:hint="default"/>
          <w:lang w:val="en-US" w:eastAsia="zh-CN"/>
        </w:rPr>
      </w:pPr>
      <w:r>
        <w:rPr>
          <w:rFonts w:hint="eastAsia" w:ascii="黑体" w:hAnsi="黑体" w:eastAsia="黑体" w:cs="黑体"/>
          <w:b w:val="0"/>
          <w:bCs w:val="0"/>
          <w:kern w:val="2"/>
          <w:sz w:val="32"/>
          <w:szCs w:val="32"/>
          <w:highlight w:val="none"/>
          <w:lang w:val="en-US" w:eastAsia="zh-CN" w:bidi="ar-SA"/>
        </w:rPr>
        <w:t>附件2</w:t>
      </w:r>
    </w:p>
    <w:p>
      <w:pPr>
        <w:pStyle w:val="21"/>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温州市</w:t>
      </w:r>
      <w:r>
        <w:rPr>
          <w:rFonts w:hint="eastAsia" w:ascii="方正小标宋简体" w:hAnsi="方正小标宋简体" w:eastAsia="方正小标宋简体" w:cs="方正小标宋简体"/>
          <w:b w:val="0"/>
          <w:bCs w:val="0"/>
          <w:sz w:val="36"/>
          <w:szCs w:val="36"/>
        </w:rPr>
        <w:t>农村集体水库山塘用水权价值</w:t>
      </w:r>
    </w:p>
    <w:p>
      <w:pPr>
        <w:pStyle w:val="21"/>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核算指引</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试行</w:t>
      </w:r>
      <w:r>
        <w:rPr>
          <w:rFonts w:hint="eastAsia" w:ascii="方正小标宋简体" w:hAnsi="方正小标宋简体" w:eastAsia="方正小标宋简体" w:cs="方正小标宋简体"/>
          <w:b w:val="0"/>
          <w:bCs w:val="0"/>
          <w:sz w:val="36"/>
          <w:szCs w:val="36"/>
          <w:lang w:eastAsia="zh-CN"/>
        </w:rPr>
        <w:t>）</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sz w:val="32"/>
          <w:szCs w:val="32"/>
          <w:lang w:val="en-US" w:eastAsia="zh-CN"/>
        </w:rPr>
      </w:pP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总则</w:t>
      </w:r>
    </w:p>
    <w:p>
      <w:pPr>
        <w:pStyle w:val="14"/>
        <w:pageBreakBefore w:val="0"/>
        <w:widowControl w:val="0"/>
        <w:kinsoku/>
        <w:wordWrap/>
        <w:overflowPunct/>
        <w:topLinePunct w:val="0"/>
        <w:autoSpaceDE/>
        <w:autoSpaceDN/>
        <w:bidi w:val="0"/>
        <w:adjustRightInd/>
        <w:snapToGrid/>
        <w:spacing w:after="0" w:afterLines="0" w:line="560" w:lineRule="exact"/>
        <w:textAlignment w:val="auto"/>
        <w:rPr>
          <w:rFonts w:hint="default" w:eastAsia="仿宋_GB2312" w:cs="Times New Roman"/>
          <w:lang w:val="en-US" w:eastAsia="zh-CN"/>
        </w:rPr>
      </w:pPr>
      <w:r>
        <w:rPr>
          <w:rFonts w:hint="default" w:eastAsia="仿宋_GB2312" w:cs="Times New Roman"/>
          <w:b/>
          <w:bCs/>
          <w:lang w:val="en-US" w:eastAsia="zh-CN"/>
        </w:rPr>
        <w:t>第一条</w:t>
      </w:r>
      <w:r>
        <w:rPr>
          <w:rFonts w:hint="default" w:eastAsia="仿宋_GB2312" w:cs="Times New Roman"/>
          <w:lang w:val="en-US" w:eastAsia="zh-CN"/>
        </w:rPr>
        <w:t xml:space="preserve"> 为规范</w:t>
      </w:r>
      <w:r>
        <w:rPr>
          <w:rFonts w:hint="eastAsia" w:eastAsia="仿宋_GB2312" w:cs="Times New Roman"/>
          <w:lang w:val="en-US" w:eastAsia="zh-CN"/>
        </w:rPr>
        <w:t>温州</w:t>
      </w:r>
      <w:r>
        <w:rPr>
          <w:rFonts w:hint="default" w:eastAsia="仿宋_GB2312" w:cs="Times New Roman"/>
          <w:lang w:val="en-US" w:eastAsia="zh-CN"/>
        </w:rPr>
        <w:t>市农村集体水库山塘用水权价值核算工作，根据《中华人民共和国水法》、《取水许可和水资源费征收管理条例》（国务院令第460号）、《中共中央办公厅 国务院办公厅关于建立健全生态产品价值实现机制的意见》《水利部 国家发展改革委 财政部关于推进用水权改革的指导意见》（水资管〔2022〕333号）、《自然资源价格评估通则》（TD/T 1061-2021）和有关法律、法规及技术标准规定，结合</w:t>
      </w:r>
      <w:r>
        <w:rPr>
          <w:rFonts w:hint="eastAsia" w:eastAsia="仿宋_GB2312" w:cs="Times New Roman"/>
          <w:lang w:val="en-US" w:eastAsia="zh-CN"/>
        </w:rPr>
        <w:t>温州</w:t>
      </w:r>
      <w:r>
        <w:rPr>
          <w:rFonts w:hint="default" w:eastAsia="仿宋_GB2312" w:cs="Times New Roman"/>
          <w:lang w:val="en-US" w:eastAsia="zh-CN"/>
        </w:rPr>
        <w:t>市实际，制定本指引。</w:t>
      </w:r>
    </w:p>
    <w:p>
      <w:pPr>
        <w:pStyle w:val="14"/>
        <w:pageBreakBefore w:val="0"/>
        <w:widowControl w:val="0"/>
        <w:kinsoku/>
        <w:wordWrap/>
        <w:overflowPunct/>
        <w:topLinePunct w:val="0"/>
        <w:autoSpaceDE/>
        <w:autoSpaceDN/>
        <w:bidi w:val="0"/>
        <w:adjustRightInd/>
        <w:snapToGrid/>
        <w:spacing w:after="0" w:afterLines="0" w:line="560" w:lineRule="exact"/>
        <w:textAlignment w:val="auto"/>
        <w:rPr>
          <w:rFonts w:hint="default" w:eastAsia="仿宋_GB2312" w:cs="Times New Roman"/>
          <w:lang w:val="en-US" w:eastAsia="zh-CN"/>
        </w:rPr>
      </w:pPr>
      <w:r>
        <w:rPr>
          <w:rFonts w:hint="default" w:eastAsia="仿宋_GB2312" w:cs="Times New Roman"/>
          <w:b/>
          <w:bCs/>
          <w:lang w:val="en-US" w:eastAsia="zh-CN"/>
        </w:rPr>
        <w:t>第二条</w:t>
      </w:r>
      <w:r>
        <w:rPr>
          <w:rFonts w:hint="default" w:eastAsia="仿宋_GB2312" w:cs="Times New Roman"/>
          <w:lang w:val="en-US" w:eastAsia="zh-CN"/>
        </w:rPr>
        <w:t xml:space="preserve"> </w:t>
      </w:r>
      <w:r>
        <w:rPr>
          <w:rFonts w:hint="eastAsia" w:eastAsia="仿宋_GB2312" w:cs="Times New Roman"/>
          <w:lang w:val="en-US" w:eastAsia="zh-CN"/>
        </w:rPr>
        <w:t>温州</w:t>
      </w:r>
      <w:r>
        <w:rPr>
          <w:rFonts w:hint="default" w:eastAsia="仿宋_GB2312" w:cs="Times New Roman"/>
          <w:lang w:val="en-US" w:eastAsia="zh-CN"/>
        </w:rPr>
        <w:t>市</w:t>
      </w:r>
      <w:r>
        <w:rPr>
          <w:rFonts w:hint="eastAsia" w:eastAsia="仿宋_GB2312" w:cs="Times New Roman"/>
          <w:lang w:val="en-US" w:eastAsia="zh-CN"/>
        </w:rPr>
        <w:t>范围内</w:t>
      </w:r>
      <w:r>
        <w:rPr>
          <w:rFonts w:hint="default" w:eastAsia="仿宋_GB2312" w:cs="Times New Roman"/>
          <w:lang w:val="en-US" w:eastAsia="zh-CN"/>
        </w:rPr>
        <w:t>农村集体经济组织的山塘和由农村集体经济组织修建管理的水库（本指引简称农村集体水库山塘）用水权价值核算，适用于本指引。</w:t>
      </w:r>
    </w:p>
    <w:p>
      <w:pPr>
        <w:pageBreakBefore w:val="0"/>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 xml:space="preserve">第三条 </w:t>
      </w:r>
      <w:r>
        <w:rPr>
          <w:rFonts w:hint="default" w:ascii="Times New Roman" w:hAnsi="Times New Roman" w:eastAsia="仿宋_GB2312" w:cs="Times New Roman"/>
          <w:kern w:val="2"/>
          <w:sz w:val="32"/>
          <w:szCs w:val="24"/>
          <w:lang w:val="en-US" w:eastAsia="zh-CN" w:bidi="ar-SA"/>
        </w:rPr>
        <w:t>本指引所称农村集体水库山塘用水权价值（以下简称“用水权价值”）是以农村集体水库山塘用水权为对象，</w:t>
      </w:r>
      <w:r>
        <w:rPr>
          <w:rFonts w:hint="default" w:ascii="Times New Roman" w:hAnsi="Times New Roman" w:eastAsia="仿宋_GB2312" w:cs="Times New Roman"/>
          <w:kern w:val="2"/>
          <w:sz w:val="32"/>
          <w:szCs w:val="24"/>
          <w:highlight w:val="none"/>
          <w:lang w:val="en-US" w:eastAsia="zh-CN" w:bidi="ar-SA"/>
        </w:rPr>
        <w:t>包括使用价值、经济价值、生态价值、社会价值等综合价值形式。</w:t>
      </w:r>
    </w:p>
    <w:p>
      <w:pPr>
        <w:pStyle w:val="14"/>
        <w:pageBreakBefore w:val="0"/>
        <w:widowControl w:val="0"/>
        <w:kinsoku/>
        <w:wordWrap/>
        <w:overflowPunct/>
        <w:topLinePunct w:val="0"/>
        <w:autoSpaceDE/>
        <w:autoSpaceDN/>
        <w:bidi w:val="0"/>
        <w:adjustRightInd/>
        <w:snapToGrid/>
        <w:spacing w:after="0" w:afterLines="0" w:line="560" w:lineRule="exact"/>
        <w:textAlignment w:val="auto"/>
        <w:rPr>
          <w:rFonts w:hint="default" w:eastAsia="仿宋_GB2312" w:cs="Times New Roman"/>
          <w:lang w:val="en-US" w:eastAsia="zh-CN"/>
        </w:rPr>
      </w:pPr>
      <w:r>
        <w:rPr>
          <w:rFonts w:hint="default" w:eastAsia="仿宋_GB2312" w:cs="Times New Roman"/>
          <w:b/>
          <w:bCs/>
          <w:lang w:val="en-US" w:eastAsia="zh-CN"/>
        </w:rPr>
        <w:t>第四条</w:t>
      </w:r>
      <w:r>
        <w:rPr>
          <w:rFonts w:hint="default" w:eastAsia="仿宋_GB2312" w:cs="Times New Roman"/>
          <w:highlight w:val="none"/>
          <w:lang w:val="en-US" w:eastAsia="zh-CN"/>
        </w:rPr>
        <w:t xml:space="preserve"> 用水权价值核算应当坚持科学性与真实性相结合、层次性与可操作性相结合、定性与定量结合等原则，坚持政府主导、多元主体参与，有利于保障水资源生态安全，提升用水权价值转化效率，探索用水权价值多种实现途径，促进乡村振兴和共同富裕。</w:t>
      </w:r>
    </w:p>
    <w:p>
      <w:pPr>
        <w:pStyle w:val="14"/>
        <w:pageBreakBefore w:val="0"/>
        <w:widowControl w:val="0"/>
        <w:kinsoku/>
        <w:wordWrap/>
        <w:overflowPunct/>
        <w:topLinePunct w:val="0"/>
        <w:autoSpaceDE/>
        <w:autoSpaceDN/>
        <w:bidi w:val="0"/>
        <w:adjustRightInd/>
        <w:snapToGrid/>
        <w:spacing w:after="0" w:afterLines="0" w:line="560" w:lineRule="exact"/>
        <w:textAlignment w:val="auto"/>
        <w:rPr>
          <w:rFonts w:hint="default" w:eastAsia="仿宋_GB2312" w:cs="Times New Roman"/>
          <w:highlight w:val="none"/>
          <w:lang w:val="en-US" w:eastAsia="zh-CN"/>
        </w:rPr>
      </w:pPr>
      <w:r>
        <w:rPr>
          <w:rFonts w:hint="default" w:eastAsia="仿宋_GB2312" w:cs="Times New Roman"/>
          <w:b/>
          <w:bCs/>
          <w:highlight w:val="none"/>
          <w:lang w:val="en-US" w:eastAsia="zh-CN"/>
        </w:rPr>
        <w:t xml:space="preserve">第五条 </w:t>
      </w:r>
      <w:r>
        <w:rPr>
          <w:rFonts w:hint="default" w:eastAsia="仿宋_GB2312" w:cs="Times New Roman"/>
          <w:highlight w:val="none"/>
          <w:lang w:val="en-US" w:eastAsia="zh-CN"/>
        </w:rPr>
        <w:t>农村集体水库山塘用水权价值核算以县级行政区为单元，由县级水行政主管部门会同发改等有关部门统一核算。</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基础资料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用水权价值核算前应当充分收集水库山塘基础信息，主要包括水域、坝体、用地、交通、区位、景观等情况，同时收集水库山塘建设时间、水库除险加固（或山塘综合整治）时间、水库山塘库容、位置、水质类别等基本参数及开发利用情况等。</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核算方法</w:t>
      </w:r>
    </w:p>
    <w:p>
      <w:pPr>
        <w:pStyle w:val="14"/>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firstLine="562"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highlight w:val="none"/>
          <w:lang w:val="en-US" w:eastAsia="zh-CN"/>
        </w:rPr>
        <w:t>第七条</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农村集体水库山塘用水权价值核算</w:t>
      </w:r>
      <w:r>
        <w:rPr>
          <w:rFonts w:hint="eastAsia" w:eastAsia="仿宋_GB2312" w:cs="Times New Roman"/>
          <w:color w:val="auto"/>
          <w:kern w:val="2"/>
          <w:sz w:val="32"/>
          <w:szCs w:val="32"/>
          <w:highlight w:val="none"/>
          <w:lang w:val="en-US" w:eastAsia="zh-CN" w:bidi="ar-SA"/>
        </w:rPr>
        <w:t>推荐</w:t>
      </w:r>
      <w:r>
        <w:rPr>
          <w:rFonts w:hint="default" w:ascii="Times New Roman" w:hAnsi="Times New Roman" w:eastAsia="仿宋_GB2312" w:cs="Times New Roman"/>
          <w:color w:val="auto"/>
          <w:kern w:val="2"/>
          <w:sz w:val="32"/>
          <w:szCs w:val="32"/>
          <w:highlight w:val="none"/>
          <w:lang w:val="en-US" w:eastAsia="zh-CN" w:bidi="ar-SA"/>
        </w:rPr>
        <w:t>采用重置成本法，结合水库山塘的水量、水质、区位、开发条件等因素，并考虑综合成新率确定。对已开发利用的水库山塘，可采用收益现值法、现行市价法等进行核算。</w:t>
      </w:r>
    </w:p>
    <w:p>
      <w:pPr>
        <w:pStyle w:val="14"/>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firstLine="562" w:firstLineChars="200"/>
        <w:jc w:val="both"/>
        <w:textAlignment w:val="auto"/>
        <w:outlineLvl w:val="1"/>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lang w:val="en-US" w:eastAsia="zh-CN"/>
        </w:rPr>
        <w:t xml:space="preserve">第八条 </w:t>
      </w:r>
      <w:r>
        <w:rPr>
          <w:rFonts w:hint="default" w:eastAsia="仿宋_GB2312" w:cs="Times New Roman"/>
          <w:sz w:val="32"/>
          <w:szCs w:val="32"/>
          <w:lang w:val="en-US" w:eastAsia="zh-CN"/>
        </w:rPr>
        <w:t>重置成本法是在现实条件下重新购置或建造一个全新状态的评估对象所需的全部成本减去评估对象实体性贬值、功能性贬值和经济性贬值的差额，作为评估对象现实价值的一种评估方法</w:t>
      </w:r>
      <w:r>
        <w:rPr>
          <w:rFonts w:hint="default" w:ascii="Times New Roman" w:hAnsi="Times New Roman" w:eastAsia="仿宋_GB2312" w:cs="Times New Roman"/>
          <w:lang w:val="en-US" w:eastAsia="zh-CN"/>
        </w:rPr>
        <w:t>。</w:t>
      </w:r>
      <w:r>
        <w:rPr>
          <w:rFonts w:hint="default" w:ascii="Times New Roman" w:hAnsi="Times New Roman" w:eastAsia="仿宋_GB2312" w:cs="Times New Roman"/>
          <w:b w:val="0"/>
          <w:bCs w:val="0"/>
          <w:kern w:val="2"/>
          <w:sz w:val="32"/>
          <w:szCs w:val="24"/>
          <w:highlight w:val="none"/>
          <w:lang w:val="en-US" w:eastAsia="zh-CN" w:bidi="ar-SA"/>
        </w:rPr>
        <w:t>农村集体水库山塘用水权价值V=重置成本</w:t>
      </w:r>
      <w:r>
        <w:rPr>
          <w:rFonts w:hint="default" w:ascii="Times New Roman" w:hAnsi="Times New Roman" w:eastAsia="仿宋_GB2312" w:cs="Times New Roman"/>
          <w:b w:val="0"/>
          <w:bCs w:val="0"/>
          <w:kern w:val="2"/>
          <w:sz w:val="32"/>
          <w:szCs w:val="24"/>
          <w:lang w:val="en-US" w:eastAsia="zh-CN" w:bidi="ar-SA"/>
        </w:rPr>
        <w:t>C</w:t>
      </w:r>
      <w:r>
        <w:rPr>
          <w:rFonts w:hint="eastAsia" w:eastAsia="仿宋_GB2312" w:cs="Times New Roman"/>
          <w:b w:val="0"/>
          <w:bCs w:val="0"/>
          <w:sz w:val="32"/>
          <w:szCs w:val="24"/>
          <w:lang w:val="en-US" w:eastAsia="zh-CN"/>
        </w:rPr>
        <w:t>*</w:t>
      </w:r>
      <w:r>
        <w:rPr>
          <w:rFonts w:hint="default" w:eastAsia="仿宋_GB2312" w:cs="Times New Roman"/>
          <w:b w:val="0"/>
          <w:bCs w:val="0"/>
          <w:sz w:val="32"/>
          <w:szCs w:val="24"/>
          <w:lang w:val="en-US" w:eastAsia="zh-CN"/>
        </w:rPr>
        <w:t>综合成新率</w:t>
      </w:r>
      <w:r>
        <w:rPr>
          <w:rFonts w:hint="default" w:ascii="Times New Roman" w:hAnsi="Times New Roman" w:eastAsia="仿宋_GB2312" w:cs="Times New Roman"/>
          <w:b w:val="0"/>
          <w:bCs w:val="0"/>
          <w:i w:val="0"/>
          <w:caps w:val="0"/>
          <w:color w:val="111F2C"/>
          <w:spacing w:val="0"/>
          <w:kern w:val="2"/>
          <w:sz w:val="32"/>
          <w:szCs w:val="24"/>
          <w:shd w:val="clear" w:fill="auto"/>
          <w:lang w:val="en-US" w:eastAsia="zh-CN" w:bidi="ar"/>
        </w:rPr>
        <w:t>δ</w:t>
      </w:r>
      <w:r>
        <w:rPr>
          <w:rFonts w:hint="eastAsia" w:eastAsia="仿宋_GB2312" w:cs="Times New Roman"/>
          <w:sz w:val="32"/>
          <w:szCs w:val="32"/>
          <w:lang w:val="en-US" w:eastAsia="zh-CN"/>
        </w:rPr>
        <w:t>*</w:t>
      </w:r>
      <w:r>
        <w:rPr>
          <w:rFonts w:hint="default" w:eastAsia="仿宋_GB2312" w:cs="Times New Roman"/>
          <w:sz w:val="32"/>
          <w:szCs w:val="32"/>
          <w:lang w:val="en-US" w:eastAsia="zh-CN"/>
        </w:rPr>
        <w:t>调整系数</w:t>
      </w:r>
      <w:r>
        <w:rPr>
          <w:rFonts w:hint="default" w:eastAsia="仿宋_GB2312" w:cs="Times New Roman"/>
          <w:sz w:val="32"/>
          <w:szCs w:val="24"/>
          <w:lang w:val="en-US" w:eastAsia="zh-CN"/>
        </w:rPr>
        <w:t>k</w:t>
      </w:r>
      <w:r>
        <w:rPr>
          <w:rFonts w:hint="default" w:eastAsia="仿宋_GB2312" w:cs="Times New Roman"/>
          <w:sz w:val="32"/>
          <w:szCs w:val="32"/>
          <w:lang w:val="en-US" w:eastAsia="zh-CN"/>
        </w:rPr>
        <w:t>。</w:t>
      </w:r>
      <w:r>
        <w:rPr>
          <w:rFonts w:hint="default" w:ascii="Times New Roman" w:hAnsi="Times New Roman" w:eastAsia="仿宋_GB2312" w:cs="Times New Roman"/>
          <w:b w:val="0"/>
          <w:bCs w:val="0"/>
          <w:kern w:val="2"/>
          <w:sz w:val="32"/>
          <w:szCs w:val="24"/>
          <w:lang w:val="en-US" w:eastAsia="zh-CN" w:bidi="ar-SA"/>
        </w:rPr>
        <w:t>重置成本指</w:t>
      </w:r>
      <w:r>
        <w:rPr>
          <w:rFonts w:hint="default" w:eastAsia="仿宋_GB2312" w:cs="Times New Roman"/>
          <w:sz w:val="32"/>
          <w:szCs w:val="32"/>
          <w:lang w:val="en-US" w:eastAsia="zh-CN"/>
        </w:rPr>
        <w:t>水资源资产形成过程中发生的各项成本、费用</w:t>
      </w:r>
      <w:r>
        <w:rPr>
          <w:rFonts w:hint="default" w:ascii="Times New Roman" w:hAnsi="Times New Roman" w:eastAsia="仿宋_GB2312" w:cs="Times New Roman"/>
          <w:lang w:val="en-US" w:eastAsia="zh-CN"/>
        </w:rPr>
        <w:t>。</w:t>
      </w:r>
      <w:r>
        <w:rPr>
          <w:rFonts w:hint="default" w:ascii="Times New Roman" w:hAnsi="Times New Roman" w:eastAsia="仿宋_GB2312" w:cs="Times New Roman"/>
          <w:b w:val="0"/>
          <w:bCs w:val="0"/>
          <w:sz w:val="32"/>
          <w:szCs w:val="24"/>
          <w:lang w:val="en-US" w:eastAsia="zh-CN"/>
        </w:rPr>
        <w:t>综合成新率反应工程折旧情况</w:t>
      </w:r>
      <w:r>
        <w:rPr>
          <w:rFonts w:hint="default" w:ascii="Times New Roman" w:hAnsi="Times New Roman" w:eastAsia="仿宋_GB2312" w:cs="Times New Roman"/>
          <w:b w:val="0"/>
          <w:bCs w:val="0"/>
          <w:kern w:val="2"/>
          <w:sz w:val="32"/>
          <w:szCs w:val="24"/>
          <w:lang w:val="en-US" w:eastAsia="zh-CN" w:bidi="ar-SA"/>
        </w:rPr>
        <w:t>，</w:t>
      </w:r>
      <w:r>
        <w:rPr>
          <w:rFonts w:hint="default" w:ascii="Times New Roman" w:hAnsi="Times New Roman" w:eastAsia="仿宋_GB2312" w:cs="Times New Roman"/>
          <w:kern w:val="2"/>
          <w:sz w:val="32"/>
          <w:szCs w:val="32"/>
          <w:highlight w:val="none"/>
          <w:lang w:val="en-US" w:eastAsia="zh-CN" w:bidi="ar-SA"/>
        </w:rPr>
        <w:t>调整系数考虑山塘水库的水量、水质、区位、开发利用等情况综合确定。</w:t>
      </w:r>
    </w:p>
    <w:p>
      <w:pPr>
        <w:pStyle w:val="14"/>
        <w:pageBreakBefore w:val="0"/>
        <w:widowControl w:val="0"/>
        <w:numPr>
          <w:ilvl w:val="0"/>
          <w:numId w:val="0"/>
        </w:numPr>
        <w:kinsoku/>
        <w:wordWrap/>
        <w:overflowPunct/>
        <w:topLinePunct w:val="0"/>
        <w:autoSpaceDE/>
        <w:autoSpaceDN/>
        <w:bidi w:val="0"/>
        <w:adjustRightInd/>
        <w:snapToGrid/>
        <w:spacing w:after="0" w:afterLines="0" w:line="560" w:lineRule="exact"/>
        <w:ind w:firstLine="640"/>
        <w:textAlignment w:val="auto"/>
        <w:outlineLvl w:val="1"/>
        <w:rPr>
          <w:rFonts w:hint="default" w:eastAsia="仿宋_GB2312" w:cs="Times New Roman"/>
          <w:b w:val="0"/>
          <w:bCs w:val="0"/>
          <w:sz w:val="32"/>
          <w:szCs w:val="24"/>
          <w:lang w:val="en-US" w:eastAsia="zh-CN"/>
        </w:rPr>
      </w:pPr>
      <w:r>
        <w:rPr>
          <w:rFonts w:hint="default" w:ascii="Times New Roman" w:hAnsi="Times New Roman" w:eastAsia="仿宋_GB2312" w:cs="Times New Roman"/>
          <w:b/>
          <w:bCs/>
          <w:lang w:val="en-US" w:eastAsia="zh-CN"/>
        </w:rPr>
        <w:t>第九条</w:t>
      </w:r>
      <w:r>
        <w:rPr>
          <w:rFonts w:hint="eastAsia" w:eastAsia="仿宋_GB2312" w:cs="Times New Roman"/>
          <w:b/>
          <w:bCs/>
          <w:lang w:val="en-US" w:eastAsia="zh-CN"/>
        </w:rPr>
        <w:t xml:space="preserve"> </w:t>
      </w:r>
      <w:r>
        <w:rPr>
          <w:rFonts w:hint="default" w:eastAsia="仿宋_GB2312" w:cs="Times New Roman"/>
          <w:b w:val="0"/>
          <w:bCs w:val="0"/>
          <w:sz w:val="32"/>
          <w:szCs w:val="24"/>
          <w:lang w:val="en-US" w:eastAsia="zh-CN"/>
        </w:rPr>
        <w:t>重置成本法核算用水权价值基本步骤包括：（1）核算重置成本；（2）评估综合成新率；（3）确定调整系数；（4）核算用水权价值。</w:t>
      </w:r>
    </w:p>
    <w:p>
      <w:pPr>
        <w:pStyle w:val="14"/>
        <w:pageBreakBefore w:val="0"/>
        <w:widowControl w:val="0"/>
        <w:numPr>
          <w:ilvl w:val="-1"/>
          <w:numId w:val="0"/>
        </w:numPr>
        <w:kinsoku/>
        <w:wordWrap/>
        <w:overflowPunct/>
        <w:topLinePunct w:val="0"/>
        <w:autoSpaceDE/>
        <w:autoSpaceDN/>
        <w:bidi w:val="0"/>
        <w:adjustRightInd/>
        <w:snapToGrid/>
        <w:spacing w:after="0" w:afterLines="0" w:line="560" w:lineRule="exact"/>
        <w:ind w:firstLine="642"/>
        <w:textAlignment w:val="auto"/>
        <w:rPr>
          <w:rFonts w:hint="default" w:eastAsia="仿宋_GB2312" w:cs="Times New Roman"/>
          <w:b/>
          <w:bCs/>
          <w:sz w:val="32"/>
          <w:szCs w:val="32"/>
          <w:lang w:val="en-US" w:eastAsia="zh-CN"/>
        </w:rPr>
      </w:pPr>
      <w:r>
        <w:rPr>
          <w:rFonts w:hint="default" w:eastAsia="仿宋_GB2312" w:cs="Times New Roman"/>
          <w:b/>
          <w:bCs/>
          <w:sz w:val="32"/>
          <w:szCs w:val="32"/>
          <w:lang w:val="en-US" w:eastAsia="zh-CN"/>
        </w:rPr>
        <w:t xml:space="preserve">第十条 </w:t>
      </w:r>
      <w:r>
        <w:rPr>
          <w:rFonts w:hint="default" w:eastAsia="仿宋_GB2312" w:cs="Times New Roman"/>
          <w:b w:val="0"/>
          <w:bCs w:val="0"/>
          <w:sz w:val="32"/>
          <w:szCs w:val="32"/>
          <w:lang w:val="en-US" w:eastAsia="zh-CN"/>
        </w:rPr>
        <w:t>重置成本核算</w:t>
      </w:r>
      <w:r>
        <w:rPr>
          <w:rFonts w:hint="default" w:eastAsia="仿宋_GB2312" w:cs="Times New Roman"/>
          <w:b w:val="0"/>
          <w:bCs w:val="0"/>
          <w:i w:val="0"/>
          <w:sz w:val="32"/>
          <w:szCs w:val="32"/>
          <w:lang w:eastAsia="zh-CN"/>
        </w:rPr>
        <w:t>。</w:t>
      </w:r>
      <w:r>
        <w:rPr>
          <w:rFonts w:hint="default" w:eastAsia="仿宋_GB2312" w:cs="Times New Roman"/>
          <w:b w:val="0"/>
          <w:bCs w:val="0"/>
          <w:sz w:val="32"/>
          <w:szCs w:val="32"/>
          <w:lang w:val="en-US" w:eastAsia="zh-CN"/>
        </w:rPr>
        <w:t>农村水库山塘的重置成本主要包括工程部分投资</w:t>
      </w:r>
      <w:r>
        <w:rPr>
          <w:rFonts w:hint="default" w:ascii="Times New Roman" w:hAnsi="Times New Roman" w:eastAsia="仿宋_GB2312" w:cs="Times New Roman"/>
          <w:b w:val="0"/>
          <w:bCs w:val="0"/>
          <w:szCs w:val="32"/>
          <w:lang w:val="en-US" w:eastAsia="zh-CN"/>
        </w:rPr>
        <w:t>、专项投资和征地移民补偿等</w:t>
      </w:r>
      <w:r>
        <w:rPr>
          <w:rFonts w:hint="default" w:eastAsia="仿宋_GB2312" w:cs="Times New Roman"/>
          <w:b w:val="0"/>
          <w:bCs w:val="0"/>
          <w:sz w:val="32"/>
          <w:szCs w:val="32"/>
          <w:lang w:val="en-US" w:eastAsia="zh-CN"/>
        </w:rPr>
        <w:t>。农村水库山塘的重置成本等于以现行市场价格计算出各部分投资的总和。</w:t>
      </w:r>
      <m:oMath>
        <m:r>
          <m:rPr>
            <m:sty m:val="p"/>
          </m:rPr>
          <w:rPr>
            <w:rFonts w:hint="default" w:ascii="Cambria Math" w:hAnsi="Cambria Math" w:eastAsia="仿宋_GB2312" w:cs="Times New Roman"/>
            <w:sz w:val="32"/>
            <w:szCs w:val="32"/>
          </w:rPr>
          <m:t>C=</m:t>
        </m:r>
        <m:nary>
          <m:naryPr>
            <m:chr m:val="∑"/>
            <m:limLoc m:val="undOvr"/>
            <m:ctrlPr>
              <w:rPr>
                <w:rFonts w:hint="default" w:ascii="Cambria Math" w:hAnsi="Cambria Math" w:eastAsia="仿宋_GB2312" w:cs="Times New Roman"/>
                <w:b w:val="0"/>
                <w:bCs w:val="0"/>
                <w:i w:val="0"/>
                <w:sz w:val="32"/>
                <w:szCs w:val="32"/>
              </w:rPr>
            </m:ctrlPr>
          </m:naryPr>
          <m:sub>
            <m:r>
              <m:rPr>
                <m:sty m:val="p"/>
              </m:rPr>
              <w:rPr>
                <w:rFonts w:hint="default" w:ascii="Cambria Math" w:hAnsi="Cambria Math" w:eastAsia="仿宋_GB2312" w:cs="Times New Roman"/>
                <w:sz w:val="32"/>
                <w:szCs w:val="32"/>
              </w:rPr>
              <m:t>i=1</m:t>
            </m:r>
            <m:ctrlPr>
              <w:rPr>
                <w:rFonts w:hint="default" w:ascii="Cambria Math" w:hAnsi="Cambria Math" w:eastAsia="仿宋_GB2312" w:cs="Times New Roman"/>
                <w:b w:val="0"/>
                <w:bCs w:val="0"/>
                <w:i w:val="0"/>
                <w:sz w:val="32"/>
                <w:szCs w:val="32"/>
              </w:rPr>
            </m:ctrlPr>
          </m:sub>
          <m:sup>
            <m:r>
              <m:rPr>
                <m:sty m:val="p"/>
              </m:rPr>
              <w:rPr>
                <w:rFonts w:hint="default" w:ascii="Cambria Math" w:hAnsi="Cambria Math" w:eastAsia="仿宋_GB2312" w:cs="Times New Roman"/>
                <w:sz w:val="32"/>
                <w:szCs w:val="32"/>
              </w:rPr>
              <m:t>n</m:t>
            </m:r>
            <m:ctrlPr>
              <w:rPr>
                <w:rFonts w:hint="default" w:ascii="Cambria Math" w:hAnsi="Cambria Math" w:eastAsia="仿宋_GB2312" w:cs="Times New Roman"/>
                <w:b w:val="0"/>
                <w:bCs w:val="0"/>
                <w:i w:val="0"/>
                <w:sz w:val="32"/>
                <w:szCs w:val="32"/>
              </w:rPr>
            </m:ctrlPr>
          </m:sup>
          <m:e>
            <m:sSub>
              <m:sSubPr>
                <m:ctrlPr>
                  <w:rPr>
                    <w:rFonts w:hint="default" w:ascii="Cambria Math" w:hAnsi="Cambria Math" w:eastAsia="仿宋_GB2312" w:cs="Times New Roman"/>
                    <w:b w:val="0"/>
                    <w:bCs w:val="0"/>
                    <w:i w:val="0"/>
                    <w:sz w:val="32"/>
                    <w:szCs w:val="32"/>
                  </w:rPr>
                </m:ctrlPr>
              </m:sSubPr>
              <m:e>
                <m:r>
                  <m:rPr>
                    <m:sty m:val="p"/>
                  </m:rPr>
                  <w:rPr>
                    <w:rFonts w:hint="default" w:ascii="Cambria Math" w:hAnsi="Cambria Math" w:eastAsia="仿宋_GB2312" w:cs="Times New Roman"/>
                    <w:sz w:val="32"/>
                    <w:szCs w:val="32"/>
                  </w:rPr>
                  <m:t>C</m:t>
                </m:r>
                <m:ctrlPr>
                  <w:rPr>
                    <w:rFonts w:hint="default" w:ascii="Cambria Math" w:hAnsi="Cambria Math" w:eastAsia="仿宋_GB2312" w:cs="Times New Roman"/>
                    <w:b w:val="0"/>
                    <w:bCs w:val="0"/>
                    <w:i w:val="0"/>
                    <w:sz w:val="32"/>
                    <w:szCs w:val="32"/>
                  </w:rPr>
                </m:ctrlPr>
              </m:e>
              <m:sub>
                <m:r>
                  <m:rPr>
                    <m:sty m:val="p"/>
                  </m:rPr>
                  <w:rPr>
                    <w:rFonts w:hint="default" w:ascii="Cambria Math" w:hAnsi="Cambria Math" w:eastAsia="仿宋_GB2312" w:cs="Times New Roman"/>
                    <w:sz w:val="32"/>
                    <w:szCs w:val="32"/>
                  </w:rPr>
                  <m:t>i</m:t>
                </m:r>
                <m:ctrlPr>
                  <w:rPr>
                    <w:rFonts w:hint="default" w:ascii="Cambria Math" w:hAnsi="Cambria Math" w:eastAsia="仿宋_GB2312" w:cs="Times New Roman"/>
                    <w:b w:val="0"/>
                    <w:bCs w:val="0"/>
                    <w:i w:val="0"/>
                    <w:sz w:val="32"/>
                    <w:szCs w:val="32"/>
                  </w:rPr>
                </m:ctrlPr>
              </m:sub>
            </m:sSub>
            <m:ctrlPr>
              <w:rPr>
                <w:rFonts w:hint="default" w:ascii="Cambria Math" w:hAnsi="Cambria Math" w:eastAsia="仿宋_GB2312" w:cs="Times New Roman"/>
                <w:b w:val="0"/>
                <w:bCs w:val="0"/>
                <w:i w:val="0"/>
                <w:sz w:val="32"/>
                <w:szCs w:val="32"/>
              </w:rPr>
            </m:ctrlPr>
          </m:e>
        </m:nary>
      </m:oMath>
      <w:r>
        <w:rPr>
          <w:rFonts w:hint="default" w:ascii="Times New Roman" w:hAnsi="Times New Roman" w:eastAsia="仿宋_GB2312" w:cs="Times New Roman"/>
          <w:b w:val="0"/>
          <w:bCs w:val="0"/>
          <w:i w:val="0"/>
          <w:sz w:val="32"/>
          <w:szCs w:val="32"/>
          <w:lang w:eastAsia="zh-CN"/>
        </w:rPr>
        <w:t>，</w:t>
      </w:r>
      <w:r>
        <w:rPr>
          <w:rFonts w:hint="default" w:eastAsia="仿宋_GB2312" w:cs="Times New Roman"/>
          <w:b w:val="0"/>
          <w:bCs w:val="0"/>
          <w:sz w:val="32"/>
          <w:szCs w:val="32"/>
          <w:lang w:val="en-US" w:eastAsia="zh-CN"/>
        </w:rPr>
        <w:t>其中：C为重置成本；C</w:t>
      </w:r>
      <w:r>
        <w:rPr>
          <w:rFonts w:hint="default" w:eastAsia="仿宋_GB2312" w:cs="Times New Roman"/>
          <w:b w:val="0"/>
          <w:bCs w:val="0"/>
          <w:sz w:val="32"/>
          <w:szCs w:val="32"/>
          <w:vertAlign w:val="subscript"/>
          <w:lang w:val="en-US" w:eastAsia="zh-CN"/>
        </w:rPr>
        <w:t>i</w:t>
      </w:r>
      <w:r>
        <w:rPr>
          <w:rFonts w:hint="default" w:eastAsia="仿宋_GB2312" w:cs="Times New Roman"/>
          <w:b w:val="0"/>
          <w:bCs w:val="0"/>
          <w:sz w:val="32"/>
          <w:szCs w:val="32"/>
          <w:lang w:val="en-US" w:eastAsia="zh-CN"/>
        </w:rPr>
        <w:t>为水资源资产价值形成过程中发生的各项费用和支出，i=1，2……，n。</w:t>
      </w:r>
    </w:p>
    <w:p>
      <w:pPr>
        <w:pStyle w:val="14"/>
        <w:pageBreakBefore w:val="0"/>
        <w:widowControl w:val="0"/>
        <w:kinsoku/>
        <w:wordWrap/>
        <w:overflowPunct/>
        <w:topLinePunct w:val="0"/>
        <w:autoSpaceDE/>
        <w:autoSpaceDN/>
        <w:bidi w:val="0"/>
        <w:adjustRightInd/>
        <w:snapToGrid/>
        <w:spacing w:after="0" w:afterLines="0" w:line="560" w:lineRule="exact"/>
        <w:ind w:firstLine="642"/>
        <w:textAlignment w:val="auto"/>
        <w:rPr>
          <w:rFonts w:hint="default" w:eastAsia="仿宋_GB2312" w:cs="Times New Roman"/>
          <w:b w:val="0"/>
          <w:bCs w:val="0"/>
          <w:sz w:val="32"/>
          <w:szCs w:val="32"/>
          <w:lang w:val="en-US" w:eastAsia="zh-CN"/>
        </w:rPr>
      </w:pPr>
      <w:r>
        <w:rPr>
          <w:rFonts w:hint="default" w:eastAsia="仿宋_GB2312" w:cs="Times New Roman"/>
          <w:b/>
          <w:bCs/>
          <w:sz w:val="32"/>
          <w:szCs w:val="32"/>
          <w:lang w:val="en-US" w:eastAsia="zh-CN"/>
        </w:rPr>
        <w:t>第十一条</w:t>
      </w:r>
      <w:r>
        <w:rPr>
          <w:rFonts w:hint="eastAsia" w:eastAsia="仿宋_GB2312" w:cs="Times New Roman"/>
          <w:b/>
          <w:bCs/>
          <w:sz w:val="32"/>
          <w:szCs w:val="32"/>
          <w:lang w:val="en-US" w:eastAsia="zh-CN"/>
        </w:rPr>
        <w:t xml:space="preserve"> </w:t>
      </w:r>
      <w:r>
        <w:rPr>
          <w:rFonts w:hint="default" w:eastAsia="仿宋_GB2312" w:cs="Times New Roman"/>
          <w:b w:val="0"/>
          <w:bCs w:val="0"/>
          <w:sz w:val="32"/>
          <w:szCs w:val="32"/>
          <w:lang w:val="en-US" w:eastAsia="zh-CN"/>
        </w:rPr>
        <w:t>重置成本核算的简化。农村集体水库山塘数量多，预算编制工作量大，鉴于农村水库山塘坝形比较单一、投资组成相对固定，可采用成本单位指标进行简化计算。成本单位指标推荐采用大坝单位体积成本或库容单位成本。具体的公式为：水库山塘重置成本=大坝成本单位指标</w:t>
      </w:r>
      <w:r>
        <w:rPr>
          <w:rFonts w:hint="eastAsia" w:eastAsia="仿宋_GB2312" w:cs="Times New Roman"/>
          <w:b w:val="0"/>
          <w:bCs w:val="0"/>
          <w:sz w:val="32"/>
          <w:szCs w:val="32"/>
          <w:lang w:val="en-US" w:eastAsia="zh-CN"/>
        </w:rPr>
        <w:t>*</w:t>
      </w:r>
      <w:r>
        <w:rPr>
          <w:rFonts w:hint="default" w:eastAsia="仿宋_GB2312" w:cs="Times New Roman"/>
          <w:b w:val="0"/>
          <w:bCs w:val="0"/>
          <w:sz w:val="32"/>
          <w:szCs w:val="32"/>
          <w:lang w:val="en-US" w:eastAsia="zh-CN"/>
        </w:rPr>
        <w:t>坝体（水库山塘重置成本=库容成本单位指标</w:t>
      </w:r>
      <w:r>
        <w:rPr>
          <w:rFonts w:hint="eastAsia" w:eastAsia="仿宋_GB2312" w:cs="Times New Roman"/>
          <w:b w:val="0"/>
          <w:bCs w:val="0"/>
          <w:sz w:val="32"/>
          <w:szCs w:val="32"/>
          <w:lang w:val="en-US" w:eastAsia="zh-CN"/>
        </w:rPr>
        <w:t>*</w:t>
      </w:r>
      <w:r>
        <w:rPr>
          <w:rFonts w:hint="default" w:eastAsia="仿宋_GB2312" w:cs="Times New Roman"/>
          <w:b w:val="0"/>
          <w:bCs w:val="0"/>
          <w:sz w:val="32"/>
          <w:szCs w:val="32"/>
          <w:lang w:val="en-US" w:eastAsia="zh-CN"/>
        </w:rPr>
        <w:t>总库容）</w:t>
      </w:r>
    </w:p>
    <w:p>
      <w:pPr>
        <w:pStyle w:val="14"/>
        <w:pageBreakBefore w:val="0"/>
        <w:widowControl w:val="0"/>
        <w:numPr>
          <w:ilvl w:val="-1"/>
          <w:numId w:val="0"/>
        </w:numPr>
        <w:kinsoku/>
        <w:wordWrap/>
        <w:overflowPunct/>
        <w:topLinePunct w:val="0"/>
        <w:autoSpaceDE/>
        <w:autoSpaceDN/>
        <w:bidi w:val="0"/>
        <w:adjustRightInd/>
        <w:snapToGrid/>
        <w:spacing w:after="0" w:afterLines="0" w:line="560" w:lineRule="exact"/>
        <w:ind w:firstLine="642" w:firstLineChars="200"/>
        <w:textAlignment w:val="auto"/>
        <w:rPr>
          <w:rFonts w:hint="default" w:eastAsia="仿宋_GB2312" w:cs="Times New Roman"/>
          <w:b/>
          <w:bCs/>
          <w:sz w:val="32"/>
          <w:szCs w:val="32"/>
          <w:highlight w:val="yellow"/>
          <w:lang w:val="en-US" w:eastAsia="zh-CN"/>
        </w:rPr>
      </w:pPr>
      <w:r>
        <w:rPr>
          <w:rFonts w:hint="default" w:eastAsia="仿宋_GB2312" w:cs="Times New Roman"/>
          <w:b/>
          <w:bCs/>
          <w:sz w:val="32"/>
          <w:szCs w:val="32"/>
          <w:lang w:val="en-US" w:eastAsia="zh-CN"/>
        </w:rPr>
        <w:t>第十二条</w:t>
      </w:r>
      <w:r>
        <w:rPr>
          <w:rFonts w:hint="eastAsia" w:eastAsia="仿宋_GB2312" w:cs="Times New Roman"/>
          <w:b/>
          <w:bCs/>
          <w:sz w:val="32"/>
          <w:szCs w:val="32"/>
          <w:lang w:val="en-US" w:eastAsia="zh-CN"/>
        </w:rPr>
        <w:t xml:space="preserve"> </w:t>
      </w:r>
      <w:r>
        <w:rPr>
          <w:rFonts w:hint="default" w:eastAsia="仿宋_GB2312" w:cs="Times New Roman"/>
          <w:b w:val="0"/>
          <w:bCs w:val="0"/>
          <w:sz w:val="32"/>
          <w:szCs w:val="32"/>
          <w:lang w:val="en-US" w:eastAsia="zh-CN"/>
        </w:rPr>
        <w:t>成本单位指标确定。可采用区域近5年新建农村集体水库山塘平均单位成本，大坝成本单位指标</w:t>
      </w:r>
      <w:r>
        <w:rPr>
          <w:rFonts w:hint="default" w:eastAsia="仿宋_GB2312" w:cs="Times New Roman"/>
          <w:sz w:val="32"/>
          <w:szCs w:val="32"/>
          <w:lang w:val="en-US" w:eastAsia="zh-CN"/>
        </w:rPr>
        <w:t>=∑各子目实际投资/坝体体积；库容成本单位指标=∑各子目实际投资/总库容。</w:t>
      </w:r>
    </w:p>
    <w:p>
      <w:pPr>
        <w:pStyle w:val="14"/>
        <w:pageBreakBefore w:val="0"/>
        <w:widowControl w:val="0"/>
        <w:kinsoku/>
        <w:wordWrap/>
        <w:overflowPunct/>
        <w:topLinePunct w:val="0"/>
        <w:autoSpaceDE/>
        <w:autoSpaceDN/>
        <w:bidi w:val="0"/>
        <w:adjustRightInd/>
        <w:snapToGrid/>
        <w:spacing w:after="0" w:afterLines="0" w:line="560" w:lineRule="exact"/>
        <w:ind w:firstLine="642"/>
        <w:textAlignment w:val="auto"/>
        <w:rPr>
          <w:rFonts w:hint="default" w:eastAsia="仿宋_GB2312" w:cs="Times New Roman"/>
          <w:sz w:val="32"/>
          <w:szCs w:val="32"/>
          <w:lang w:val="en-US" w:eastAsia="zh-CN"/>
        </w:rPr>
      </w:pPr>
      <w:r>
        <w:rPr>
          <w:rFonts w:hint="default" w:eastAsia="仿宋_GB2312" w:cs="Times New Roman"/>
          <w:b/>
          <w:bCs/>
          <w:sz w:val="32"/>
          <w:szCs w:val="32"/>
          <w:lang w:val="en-US" w:eastAsia="zh-CN"/>
        </w:rPr>
        <w:t>第十三条</w:t>
      </w:r>
      <w:r>
        <w:rPr>
          <w:rFonts w:hint="default" w:eastAsia="仿宋_GB2312" w:cs="Times New Roman"/>
          <w:sz w:val="32"/>
          <w:szCs w:val="32"/>
          <w:lang w:val="en-US" w:eastAsia="zh-CN"/>
        </w:rPr>
        <w:t xml:space="preserve"> 综合成新率</w:t>
      </w:r>
      <w:r>
        <w:rPr>
          <w:rFonts w:hint="default" w:ascii="Times New Roman" w:hAnsi="Times New Roman" w:eastAsia="仿宋_GB2312" w:cs="Times New Roman"/>
          <w:b w:val="0"/>
          <w:bCs w:val="0"/>
          <w:i w:val="0"/>
          <w:caps w:val="0"/>
          <w:spacing w:val="0"/>
          <w:kern w:val="2"/>
          <w:sz w:val="32"/>
          <w:szCs w:val="24"/>
          <w:shd w:val="clear"/>
          <w:lang w:val="en-US" w:eastAsia="zh-CN" w:bidi="ar"/>
        </w:rPr>
        <w:t>δ计算。</w:t>
      </w:r>
      <w:r>
        <w:rPr>
          <w:rFonts w:hint="default" w:eastAsia="仿宋_GB2312" w:cs="Times New Roman"/>
          <w:sz w:val="32"/>
          <w:szCs w:val="32"/>
        </w:rPr>
        <w:t>采用加权的方式对成新率的计算方法进行改进，综合成新率为按工程使用年限和重置值比例计算的加权平均值。</w:t>
      </w:r>
      <w:r>
        <w:rPr>
          <w:rFonts w:hint="default" w:eastAsia="仿宋_GB2312" w:cs="Times New Roman"/>
          <w:sz w:val="32"/>
          <w:szCs w:val="32"/>
          <w:lang w:val="en-US" w:eastAsia="zh-CN"/>
        </w:rPr>
        <w:t>综合成新率</w:t>
      </w:r>
      <w:r>
        <w:rPr>
          <w:rFonts w:hint="default" w:ascii="Times New Roman" w:hAnsi="Times New Roman" w:eastAsia="仿宋_GB2312" w:cs="Times New Roman"/>
          <w:b w:val="0"/>
          <w:bCs w:val="0"/>
          <w:i w:val="0"/>
          <w:caps w:val="0"/>
          <w:spacing w:val="0"/>
          <w:kern w:val="2"/>
          <w:sz w:val="32"/>
          <w:szCs w:val="24"/>
          <w:shd w:val="clear"/>
          <w:lang w:val="en-US" w:eastAsia="zh-CN" w:bidi="ar"/>
        </w:rPr>
        <w:t>δ</w:t>
      </w:r>
      <w:r>
        <w:rPr>
          <w:rFonts w:hint="default" w:eastAsia="仿宋_GB2312" w:cs="Times New Roman"/>
          <w:sz w:val="32"/>
          <w:szCs w:val="32"/>
          <w:lang w:val="en-US" w:eastAsia="zh-CN"/>
        </w:rPr>
        <w:t>=0.6</w:t>
      </w:r>
      <w:r>
        <w:rPr>
          <w:rFonts w:hint="eastAsia" w:eastAsia="仿宋_GB2312" w:cs="Times New Roman"/>
          <w:sz w:val="32"/>
          <w:szCs w:val="32"/>
          <w:lang w:val="en-US" w:eastAsia="zh-CN"/>
        </w:rPr>
        <w:t>*</w:t>
      </w:r>
      <w:r>
        <w:rPr>
          <w:rFonts w:hint="default" w:eastAsia="仿宋_GB2312" w:cs="Times New Roman"/>
          <w:sz w:val="32"/>
          <w:szCs w:val="32"/>
          <w:lang w:val="en-US" w:eastAsia="zh-CN"/>
        </w:rPr>
        <w:t>（可使用年数-建成后已使用年数）/可使用年数+0.4</w:t>
      </w:r>
      <w:r>
        <w:rPr>
          <w:rFonts w:hint="eastAsia" w:eastAsia="仿宋_GB2312" w:cs="Times New Roman"/>
          <w:sz w:val="32"/>
          <w:szCs w:val="32"/>
          <w:lang w:val="en-US" w:eastAsia="zh-CN"/>
        </w:rPr>
        <w:t>*</w:t>
      </w:r>
      <w:r>
        <w:rPr>
          <w:rFonts w:hint="default" w:eastAsia="仿宋_GB2312" w:cs="Times New Roman"/>
          <w:sz w:val="32"/>
          <w:szCs w:val="32"/>
          <w:lang w:val="en-US" w:eastAsia="zh-CN"/>
        </w:rPr>
        <w:t>（加固后可使用年数-除险加固后已使用年数）/可使用年份，可使用年数一般取60年。</w:t>
      </w:r>
    </w:p>
    <w:p>
      <w:pPr>
        <w:pStyle w:val="14"/>
        <w:pageBreakBefore w:val="0"/>
        <w:widowControl w:val="0"/>
        <w:kinsoku/>
        <w:wordWrap/>
        <w:overflowPunct/>
        <w:topLinePunct w:val="0"/>
        <w:autoSpaceDE/>
        <w:autoSpaceDN/>
        <w:bidi w:val="0"/>
        <w:adjustRightInd/>
        <w:snapToGrid/>
        <w:spacing w:after="0" w:afterLines="0" w:line="560" w:lineRule="exact"/>
        <w:textAlignment w:val="auto"/>
        <w:rPr>
          <w:rFonts w:hint="default" w:eastAsia="仿宋_GB2312" w:cs="Times New Roman"/>
          <w:sz w:val="32"/>
          <w:szCs w:val="32"/>
          <w:lang w:val="en-US" w:eastAsia="zh-CN"/>
        </w:rPr>
      </w:pPr>
      <w:r>
        <w:rPr>
          <w:rFonts w:hint="default" w:eastAsia="仿宋_GB2312" w:cs="Times New Roman"/>
          <w:b/>
          <w:bCs/>
          <w:sz w:val="32"/>
          <w:szCs w:val="32"/>
          <w:lang w:val="en-US" w:eastAsia="zh-CN"/>
        </w:rPr>
        <w:t>第十四条</w:t>
      </w:r>
      <w:r>
        <w:rPr>
          <w:rFonts w:hint="default" w:eastAsia="仿宋_GB2312" w:cs="Times New Roman"/>
          <w:sz w:val="32"/>
          <w:szCs w:val="32"/>
          <w:lang w:val="en-US" w:eastAsia="zh-CN"/>
        </w:rPr>
        <w:t xml:space="preserve"> 确定调整系数</w:t>
      </w:r>
      <w:r>
        <w:rPr>
          <w:rFonts w:hint="default" w:ascii="Times New Roman" w:hAnsi="Times New Roman" w:eastAsia="仿宋_GB2312" w:cs="Times New Roman"/>
          <w:kern w:val="2"/>
          <w:sz w:val="32"/>
          <w:szCs w:val="32"/>
          <w:highlight w:val="none"/>
          <w:lang w:val="en-US" w:eastAsia="zh-CN" w:bidi="ar-SA"/>
        </w:rPr>
        <w:t>K</w:t>
      </w:r>
      <w:r>
        <w:rPr>
          <w:rFonts w:hint="eastAsia" w:eastAsia="仿宋_GB2312" w:cs="Times New Roman"/>
          <w:kern w:val="2"/>
          <w:sz w:val="32"/>
          <w:szCs w:val="32"/>
          <w:highlight w:val="none"/>
          <w:lang w:val="en-US" w:eastAsia="zh-CN" w:bidi="ar-SA"/>
        </w:rPr>
        <w:t>。</w:t>
      </w:r>
      <w:r>
        <w:rPr>
          <w:rFonts w:hint="default" w:eastAsia="仿宋_GB2312" w:cs="Times New Roman"/>
          <w:sz w:val="32"/>
          <w:szCs w:val="32"/>
          <w:lang w:val="en-US" w:eastAsia="zh-CN"/>
        </w:rPr>
        <w:t>根据</w:t>
      </w:r>
      <w:r>
        <w:rPr>
          <w:rFonts w:hint="default" w:ascii="Times New Roman" w:hAnsi="Times New Roman" w:eastAsia="仿宋_GB2312" w:cs="Times New Roman"/>
          <w:kern w:val="2"/>
          <w:sz w:val="32"/>
          <w:szCs w:val="32"/>
          <w:highlight w:val="none"/>
          <w:lang w:val="en-US" w:eastAsia="zh-CN" w:bidi="ar-SA"/>
        </w:rPr>
        <w:t>水库山塘的水量、水质、区位、开发利用等情况综合确定调整系数，调整系数K=水量修正系数</w:t>
      </w:r>
      <w:r>
        <w:rPr>
          <w:rFonts w:hint="default" w:eastAsia="仿宋_GB2312" w:cs="Times New Roman"/>
          <w:sz w:val="32"/>
          <w:szCs w:val="32"/>
          <w:lang w:val="en-US" w:eastAsia="zh-CN"/>
        </w:rPr>
        <w:t>×水质修正系数×区位修正系数×开发条件修正系数。水量修正系数表示水库山塘的可供水量对价值的影响，根据可供水量大小确定；水质修正系数表示水库山塘的水质条件对价值的影响，根据不同水质类别确定；区位条件修正系数表示水库山塘位置对价值的影响，根据水库山塘距离主干道距离确定；开发条件表示水库山塘的开发程度对价值的影响，根据水库山塘的开发率确定。</w:t>
      </w:r>
    </w:p>
    <w:p>
      <w:pPr>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表1 水库山塘调整系数参考表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10"/>
        <w:gridCol w:w="1456"/>
        <w:gridCol w:w="1456"/>
        <w:gridCol w:w="131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影响因素</w:t>
            </w:r>
          </w:p>
        </w:tc>
        <w:tc>
          <w:tcPr>
            <w:tcW w:w="6925"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修正系数</w:t>
            </w:r>
            <w:r>
              <w:rPr>
                <w:rFonts w:hint="eastAsia" w:ascii="仿宋_GB2312" w:hAnsi="仿宋_GB2312" w:eastAsia="仿宋_GB2312" w:cs="仿宋_GB2312"/>
                <w:b/>
                <w:bCs/>
                <w:sz w:val="24"/>
                <w:szCs w:val="24"/>
                <w:lang w:eastAsia="zh-CN"/>
              </w:rPr>
              <w:t>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一级</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二级</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三级</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四级</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水量条件</w:t>
            </w: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＞20万方</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20-15万方</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15-10万方</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10-5万方</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水质条件</w:t>
            </w: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Ⅰ类</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Ⅱ类</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Ⅲ类</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Ⅳ类</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区位条件</w:t>
            </w: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＜10km</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10-20km</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20-30km</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30-40km</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开发条件</w:t>
            </w: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0%-20%</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20%-40%</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40%-60%</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60%-80%</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3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w:t>
            </w:r>
          </w:p>
        </w:tc>
        <w:tc>
          <w:tcPr>
            <w:tcW w:w="13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w:t>
            </w:r>
          </w:p>
        </w:tc>
      </w:tr>
    </w:tbl>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cs="黑体"/>
          <w:kern w:val="2"/>
          <w:sz w:val="32"/>
          <w:szCs w:val="32"/>
          <w:lang w:val="en-US" w:eastAsia="zh-CN" w:bidi="ar-SA"/>
        </w:rPr>
      </w:pPr>
      <w:r>
        <w:rPr>
          <w:rFonts w:hint="eastAsia" w:ascii="黑体" w:hAnsi="黑体" w:eastAsia="黑体" w:cs="黑体"/>
          <w:b w:val="0"/>
          <w:bCs/>
          <w:sz w:val="32"/>
          <w:szCs w:val="32"/>
          <w:lang w:val="en-US" w:eastAsia="zh-CN"/>
        </w:rPr>
        <w:t>第四章 成果应用</w:t>
      </w:r>
    </w:p>
    <w:p>
      <w:pPr>
        <w:pStyle w:val="14"/>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县域农村集体水库山塘用水权价值核算报告由县级水行政主管部门会同发展改革委等部门联合公布，可作为农村集体水库山塘用水权流转交易的基准价值参考。水库山塘可交易用水权价值，按照可交易部分用水量与该水库山塘总用水权量（</w:t>
      </w:r>
      <w:r>
        <w:rPr>
          <w:rFonts w:hint="eastAsia" w:ascii="Times New Roman" w:hAnsi="Times New Roman" w:eastAsia="仿宋_GB2312" w:cs="Times New Roman"/>
          <w:sz w:val="32"/>
          <w:szCs w:val="32"/>
          <w:lang w:eastAsia="zh-CN"/>
        </w:rPr>
        <w:t>多年平均可供水量</w:t>
      </w:r>
      <w:r>
        <w:rPr>
          <w:rFonts w:hint="eastAsia" w:ascii="仿宋_GB2312" w:hAnsi="仿宋_GB2312" w:eastAsia="仿宋_GB2312" w:cs="仿宋_GB2312"/>
          <w:sz w:val="32"/>
          <w:szCs w:val="32"/>
          <w:lang w:val="en-US" w:eastAsia="zh-CN"/>
        </w:rPr>
        <w:t>）比例确定，水库山塘可交易水权价值＝可交易水权量/</w:t>
      </w:r>
      <w:r>
        <w:rPr>
          <w:rFonts w:hint="eastAsia" w:ascii="Times New Roman" w:hAnsi="Times New Roman" w:eastAsia="仿宋_GB2312" w:cs="Times New Roman"/>
          <w:sz w:val="32"/>
          <w:szCs w:val="32"/>
          <w:lang w:eastAsia="zh-CN"/>
        </w:rPr>
        <w:t>多年平均可供水量</w:t>
      </w:r>
      <w:r>
        <w:rPr>
          <w:rFonts w:hint="default" w:eastAsia="仿宋_GB2312" w:cs="Times New Roman"/>
          <w:b w:val="0"/>
          <w:bCs w:val="0"/>
          <w:sz w:val="32"/>
          <w:szCs w:val="32"/>
          <w:lang w:val="en-US" w:eastAsia="zh-CN"/>
        </w:rPr>
        <w:t>×</w:t>
      </w:r>
      <w:r>
        <w:rPr>
          <w:rFonts w:hint="eastAsia" w:ascii="仿宋_GB2312" w:hAnsi="仿宋_GB2312" w:eastAsia="仿宋_GB2312" w:cs="仿宋_GB2312"/>
          <w:sz w:val="32"/>
          <w:szCs w:val="32"/>
          <w:lang w:val="en-US" w:eastAsia="zh-CN"/>
        </w:rPr>
        <w:t>水库山塘总用水权价值。</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附则</w:t>
      </w:r>
    </w:p>
    <w:p>
      <w:pPr>
        <w:spacing w:line="560" w:lineRule="exact"/>
        <w:ind w:firstLine="642"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第十六条 </w:t>
      </w:r>
      <w:r>
        <w:rPr>
          <w:rFonts w:hint="eastAsia" w:ascii="仿宋_GB2312" w:hAnsi="仿宋_GB2312" w:eastAsia="仿宋_GB2312" w:cs="仿宋_GB2312"/>
          <w:b w:val="0"/>
          <w:bCs w:val="0"/>
          <w:kern w:val="2"/>
          <w:sz w:val="32"/>
          <w:szCs w:val="32"/>
          <w:lang w:val="en-US" w:eastAsia="zh-CN" w:bidi="ar-SA"/>
        </w:rPr>
        <w:t>本指引由温州</w:t>
      </w:r>
      <w:r>
        <w:rPr>
          <w:rFonts w:hint="eastAsia" w:ascii="仿宋_GB2312" w:hAnsi="仿宋_GB2312" w:eastAsia="仿宋_GB2312" w:cs="仿宋_GB2312"/>
          <w:sz w:val="32"/>
          <w:szCs w:val="32"/>
          <w:lang w:val="en-US" w:eastAsia="zh-CN"/>
        </w:rPr>
        <w:t>市水利局</w:t>
      </w:r>
      <w:r>
        <w:rPr>
          <w:rFonts w:hint="eastAsia" w:ascii="仿宋_GB2312" w:hAnsi="仿宋_GB2312" w:eastAsia="仿宋_GB2312" w:cs="仿宋_GB2312"/>
          <w:b w:val="0"/>
          <w:bCs w:val="0"/>
          <w:kern w:val="2"/>
          <w:sz w:val="32"/>
          <w:szCs w:val="32"/>
          <w:lang w:val="en-US" w:eastAsia="zh-CN" w:bidi="ar-SA"/>
        </w:rPr>
        <w:t>负责解释。</w:t>
      </w:r>
    </w:p>
    <w:p>
      <w:pPr>
        <w:pStyle w:val="14"/>
        <w:spacing w:line="560" w:lineRule="exact"/>
        <w:rPr>
          <w:rFonts w:hint="eastAsia" w:ascii="仿宋_GB2312" w:hAnsi="仿宋_GB2312" w:eastAsia="仿宋_GB2312" w:cs="仿宋_GB2312"/>
          <w:szCs w:val="32"/>
          <w:lang w:val="en-US" w:eastAsia="zh-CN"/>
        </w:rPr>
      </w:pPr>
      <w:r>
        <w:rPr>
          <w:rFonts w:hint="eastAsia" w:ascii="仿宋_GB2312" w:hAnsi="仿宋_GB2312" w:eastAsia="仿宋_GB2312" w:cs="仿宋_GB2312"/>
          <w:b/>
          <w:bCs/>
          <w:kern w:val="2"/>
          <w:sz w:val="32"/>
          <w:szCs w:val="32"/>
          <w:lang w:val="en-US" w:eastAsia="zh-CN" w:bidi="ar-SA"/>
        </w:rPr>
        <w:t>第十七条</w:t>
      </w:r>
      <w:r>
        <w:rPr>
          <w:rFonts w:hint="eastAsia" w:ascii="仿宋_GB2312" w:hAnsi="仿宋_GB2312" w:eastAsia="仿宋_GB2312" w:cs="仿宋_GB2312"/>
          <w:b w:val="0"/>
          <w:bCs w:val="0"/>
          <w:kern w:val="2"/>
          <w:sz w:val="32"/>
          <w:szCs w:val="32"/>
          <w:lang w:val="en-US" w:eastAsia="zh-CN" w:bidi="ar-SA"/>
        </w:rPr>
        <w:t xml:space="preserve"> 本指引自发布之日起实施。</w:t>
      </w:r>
    </w:p>
    <w:p>
      <w:pPr>
        <w:snapToGrid w:val="0"/>
        <w:spacing w:line="560" w:lineRule="exact"/>
        <w:jc w:val="both"/>
        <w:outlineLvl w:val="0"/>
        <w:rPr>
          <w:rFonts w:hint="default"/>
          <w:lang w:val="en-US" w:eastAsia="zh-CN"/>
        </w:rPr>
      </w:pPr>
      <w:r>
        <w:rPr>
          <w:rFonts w:hint="eastAsia" w:ascii="黑体" w:hAnsi="黑体" w:eastAsia="黑体" w:cs="黑体"/>
          <w:b w:val="0"/>
          <w:bCs w:val="0"/>
          <w:kern w:val="2"/>
          <w:sz w:val="32"/>
          <w:szCs w:val="32"/>
          <w:highlight w:val="none"/>
          <w:lang w:val="en-US" w:eastAsia="zh-CN" w:bidi="ar-SA"/>
        </w:rPr>
        <w:t>附件3</w:t>
      </w:r>
    </w:p>
    <w:p>
      <w:pPr>
        <w:pStyle w:val="21"/>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温州市</w:t>
      </w:r>
      <w:r>
        <w:rPr>
          <w:rFonts w:hint="eastAsia" w:ascii="方正小标宋简体" w:hAnsi="方正小标宋简体" w:eastAsia="方正小标宋简体" w:cs="方正小标宋简体"/>
          <w:b w:val="0"/>
          <w:bCs w:val="0"/>
          <w:sz w:val="36"/>
          <w:szCs w:val="36"/>
        </w:rPr>
        <w:t>农村集体水库山塘用水权</w:t>
      </w:r>
      <w:r>
        <w:rPr>
          <w:rFonts w:hint="eastAsia" w:ascii="方正小标宋简体" w:hAnsi="方正小标宋简体" w:eastAsia="方正小标宋简体" w:cs="方正小标宋简体"/>
          <w:b w:val="0"/>
          <w:bCs w:val="0"/>
          <w:sz w:val="36"/>
          <w:szCs w:val="36"/>
          <w:lang w:val="en-US" w:eastAsia="zh-CN"/>
        </w:rPr>
        <w:t>流转</w:t>
      </w:r>
    </w:p>
    <w:p>
      <w:pPr>
        <w:pStyle w:val="21"/>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工作指南（试行）</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sz w:val="32"/>
          <w:szCs w:val="32"/>
          <w:lang w:val="en-US" w:eastAsia="zh-CN"/>
        </w:rPr>
      </w:pP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总则</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为规范</w:t>
      </w:r>
      <w:r>
        <w:rPr>
          <w:rFonts w:hint="eastAsia"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农村集体水库山塘用水权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rPr>
        <w:t>行为，维护各方合法权益，根据《中华人民共和国水法》、《水权交易管理暂行办法》（水政法〔2016〕156号）、《水利部 国家发展改革委 财政部关于推进用水权改革的指导意见》（水资管〔2022〕333号）、《浙江省人民政府办公厅关于推进农村产权流转交易体系规范化建设的指导意见》（浙政办发〔2019〕43号）、《浙江省农村集体资产管理条例》等有关法律、法规和文件精神，结合</w:t>
      </w:r>
      <w:r>
        <w:rPr>
          <w:rFonts w:hint="eastAsia"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eastAsia="zh-CN"/>
        </w:rPr>
        <w:t>指南</w:t>
      </w:r>
      <w:r>
        <w:rPr>
          <w:rFonts w:hint="default" w:ascii="Times New Roman" w:hAnsi="Times New Roman" w:eastAsia="仿宋_GB2312" w:cs="Times New Roman"/>
          <w:sz w:val="32"/>
          <w:szCs w:val="32"/>
        </w:rPr>
        <w:t>。</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在</w:t>
      </w:r>
      <w:r>
        <w:rPr>
          <w:rFonts w:hint="eastAsia"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w:t>
      </w:r>
      <w:r>
        <w:rPr>
          <w:rFonts w:hint="eastAsia" w:eastAsia="仿宋_GB2312" w:cs="Times New Roman"/>
          <w:sz w:val="32"/>
          <w:szCs w:val="32"/>
          <w:lang w:val="en-US" w:eastAsia="zh-CN"/>
        </w:rPr>
        <w:t>范围内</w:t>
      </w:r>
      <w:r>
        <w:rPr>
          <w:rFonts w:hint="default" w:ascii="Times New Roman" w:hAnsi="Times New Roman" w:eastAsia="仿宋_GB2312" w:cs="Times New Roman"/>
          <w:sz w:val="32"/>
          <w:szCs w:val="32"/>
        </w:rPr>
        <w:t>开展农村集体水库山塘用水权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rPr>
        <w:t>及监督管理</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，适用本办法。</w:t>
      </w:r>
      <w:r>
        <w:rPr>
          <w:rFonts w:hint="eastAsia" w:eastAsia="仿宋_GB2312" w:cs="Times New Roman"/>
          <w:sz w:val="32"/>
          <w:szCs w:val="32"/>
          <w:lang w:val="en-US" w:eastAsia="zh-CN"/>
        </w:rPr>
        <w:t>流转</w:t>
      </w:r>
      <w:r>
        <w:rPr>
          <w:rFonts w:hint="default" w:ascii="Times New Roman" w:hAnsi="Times New Roman" w:eastAsia="仿宋_GB2312" w:cs="Times New Roman"/>
          <w:sz w:val="32"/>
          <w:szCs w:val="32"/>
          <w:lang w:val="en-US" w:eastAsia="zh-CN"/>
        </w:rPr>
        <w:t>类型包括转让、租赁、入股、抵押融资等。</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eastAsia="zh-CN"/>
        </w:rPr>
        <w:t>指南</w:t>
      </w:r>
      <w:r>
        <w:rPr>
          <w:rFonts w:hint="default" w:ascii="Times New Roman" w:hAnsi="Times New Roman" w:eastAsia="仿宋_GB2312" w:cs="Times New Roman"/>
          <w:sz w:val="32"/>
          <w:szCs w:val="32"/>
        </w:rPr>
        <w:t>所称农村集体水库山塘用水权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rPr>
        <w:t>（以下简称“用水权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rPr>
        <w:t>”），是指农村集体山塘水库在完成用水权确权</w:t>
      </w:r>
      <w:r>
        <w:rPr>
          <w:rFonts w:hint="eastAsia" w:eastAsia="仿宋_GB2312" w:cs="Times New Roman"/>
          <w:sz w:val="32"/>
          <w:szCs w:val="32"/>
          <w:lang w:eastAsia="zh-CN"/>
        </w:rPr>
        <w:t>登记</w:t>
      </w:r>
      <w:r>
        <w:rPr>
          <w:rFonts w:hint="default" w:ascii="Times New Roman" w:hAnsi="Times New Roman" w:eastAsia="仿宋_GB2312" w:cs="Times New Roman"/>
          <w:sz w:val="32"/>
          <w:szCs w:val="32"/>
        </w:rPr>
        <w:t>并取得</w:t>
      </w:r>
      <w:r>
        <w:rPr>
          <w:rFonts w:hint="eastAsia" w:eastAsia="仿宋_GB2312" w:cs="Times New Roman"/>
          <w:sz w:val="32"/>
          <w:szCs w:val="32"/>
          <w:lang w:eastAsia="zh-CN"/>
        </w:rPr>
        <w:t>用水权凭证</w:t>
      </w:r>
      <w:r>
        <w:rPr>
          <w:rFonts w:hint="default" w:ascii="Times New Roman" w:hAnsi="Times New Roman" w:eastAsia="仿宋_GB2312" w:cs="Times New Roman"/>
          <w:sz w:val="32"/>
          <w:szCs w:val="32"/>
        </w:rPr>
        <w:t>后，用水权在使用主体之间通过市场机制进行</w:t>
      </w:r>
      <w:r>
        <w:rPr>
          <w:rFonts w:hint="eastAsia" w:eastAsia="仿宋_GB2312" w:cs="Times New Roman"/>
          <w:sz w:val="32"/>
          <w:szCs w:val="32"/>
          <w:lang w:val="en-US" w:eastAsia="zh-CN"/>
        </w:rPr>
        <w:t>流转</w:t>
      </w:r>
      <w:r>
        <w:rPr>
          <w:rFonts w:hint="default" w:ascii="Times New Roman" w:hAnsi="Times New Roman" w:eastAsia="仿宋_GB2312" w:cs="Times New Roman"/>
          <w:sz w:val="32"/>
          <w:szCs w:val="32"/>
        </w:rPr>
        <w:t>的行为。</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出让农村集体水库山塘用水权的一方称转让方，取得用水权的一方称受让方。</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农村集体水库山塘用水权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rPr>
        <w:t>应当遵循公开、公平、公正、自愿的原则，实行政府指导和市场调节相结合，不得影响公共利益和利害关系人合法权益。</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水利局负责用水权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rPr>
        <w:t>的业务指导、监督管理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eastAsia"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水利局具体负责辖区内用水权</w:t>
      </w:r>
      <w:r>
        <w:rPr>
          <w:rFonts w:hint="eastAsia" w:eastAsia="仿宋_GB2312" w:cs="Times New Roman"/>
          <w:sz w:val="32"/>
          <w:szCs w:val="32"/>
          <w:lang w:val="en-US" w:eastAsia="zh-CN"/>
        </w:rPr>
        <w:t>流转</w:t>
      </w:r>
      <w:r>
        <w:rPr>
          <w:rFonts w:hint="default" w:ascii="Times New Roman" w:hAnsi="Times New Roman" w:eastAsia="仿宋_GB2312" w:cs="Times New Roman"/>
          <w:sz w:val="32"/>
          <w:szCs w:val="32"/>
          <w:lang w:val="en-US" w:eastAsia="zh-CN"/>
        </w:rPr>
        <w:t>的业务指导、监督管理</w:t>
      </w:r>
      <w:r>
        <w:rPr>
          <w:rFonts w:hint="default" w:ascii="Times New Roman" w:hAnsi="Times New Roman" w:eastAsia="仿宋_GB2312" w:cs="Times New Roman"/>
          <w:sz w:val="32"/>
          <w:szCs w:val="32"/>
        </w:rPr>
        <w:t>。</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温州</w:t>
      </w:r>
      <w:r>
        <w:rPr>
          <w:rFonts w:hint="default" w:ascii="Times New Roman" w:hAnsi="Times New Roman" w:eastAsia="仿宋_GB2312" w:cs="Times New Roman"/>
          <w:sz w:val="32"/>
          <w:szCs w:val="32"/>
          <w:lang w:val="en-US" w:eastAsia="zh-CN"/>
        </w:rPr>
        <w:t>市及各</w:t>
      </w:r>
      <w:r>
        <w:rPr>
          <w:rFonts w:hint="eastAsia" w:eastAsia="仿宋_GB2312" w:cs="Times New Roman"/>
          <w:sz w:val="32"/>
          <w:szCs w:val="32"/>
          <w:lang w:val="en-US" w:eastAsia="zh-CN"/>
        </w:rPr>
        <w:t>县（市、区）</w:t>
      </w:r>
      <w:r>
        <w:rPr>
          <w:rFonts w:hint="default" w:ascii="Times New Roman" w:hAnsi="Times New Roman" w:eastAsia="仿宋_GB2312" w:cs="Times New Roman"/>
          <w:color w:val="auto"/>
          <w:kern w:val="2"/>
          <w:sz w:val="32"/>
          <w:szCs w:val="32"/>
          <w:highlight w:val="none"/>
          <w:lang w:val="en-US" w:eastAsia="zh-CN" w:bidi="ar-SA"/>
        </w:rPr>
        <w:t>发改、</w:t>
      </w:r>
      <w:r>
        <w:rPr>
          <w:rFonts w:hint="eastAsia" w:eastAsia="仿宋_GB2312" w:cs="Times New Roman"/>
          <w:color w:val="auto"/>
          <w:kern w:val="2"/>
          <w:sz w:val="32"/>
          <w:szCs w:val="32"/>
          <w:highlight w:val="none"/>
          <w:lang w:val="en-US" w:eastAsia="zh-CN" w:bidi="ar-SA"/>
        </w:rPr>
        <w:t>资规</w:t>
      </w:r>
      <w:r>
        <w:rPr>
          <w:rFonts w:hint="default" w:ascii="Times New Roman" w:hAnsi="Times New Roman" w:eastAsia="仿宋_GB2312" w:cs="Times New Roman"/>
          <w:b w:val="0"/>
          <w:bCs w:val="0"/>
          <w:kern w:val="2"/>
          <w:sz w:val="32"/>
          <w:szCs w:val="32"/>
          <w:lang w:val="en-US" w:eastAsia="zh-CN" w:bidi="ar-SA"/>
        </w:rPr>
        <w:t>、农业农村、文广旅</w:t>
      </w:r>
      <w:r>
        <w:rPr>
          <w:rFonts w:hint="default" w:ascii="Times New Roman" w:hAnsi="Times New Roman" w:eastAsia="仿宋_GB2312" w:cs="Times New Roman"/>
          <w:sz w:val="32"/>
          <w:szCs w:val="32"/>
        </w:rPr>
        <w:t>等部门按照各自职责，共同做好用水权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lang w:eastAsia="zh-CN"/>
        </w:rPr>
        <w:t>改革</w:t>
      </w:r>
      <w:r>
        <w:rPr>
          <w:rFonts w:hint="default" w:ascii="Times New Roman" w:hAnsi="Times New Roman" w:eastAsia="仿宋_GB2312" w:cs="Times New Roman"/>
          <w:sz w:val="32"/>
          <w:szCs w:val="32"/>
        </w:rPr>
        <w:t>有关工作。</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用水权</w:t>
      </w:r>
      <w:r>
        <w:rPr>
          <w:rFonts w:hint="eastAsia" w:eastAsia="仿宋_GB2312" w:cs="Times New Roman"/>
          <w:sz w:val="32"/>
          <w:szCs w:val="32"/>
          <w:lang w:eastAsia="zh-CN"/>
        </w:rPr>
        <w:t>流转</w:t>
      </w:r>
      <w:r>
        <w:rPr>
          <w:rFonts w:hint="default" w:ascii="Times New Roman" w:hAnsi="Times New Roman" w:eastAsia="仿宋_GB2312" w:cs="Times New Roman"/>
          <w:sz w:val="32"/>
          <w:szCs w:val="32"/>
          <w:lang w:val="en-US" w:eastAsia="zh-CN"/>
        </w:rPr>
        <w:t>平台原则上</w:t>
      </w:r>
      <w:r>
        <w:rPr>
          <w:rFonts w:hint="eastAsia"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通过</w:t>
      </w:r>
      <w:r>
        <w:rPr>
          <w:rFonts w:hint="eastAsia" w:eastAsia="仿宋_GB2312" w:cs="Times New Roman"/>
          <w:sz w:val="32"/>
          <w:szCs w:val="32"/>
          <w:lang w:val="en-US" w:eastAsia="zh-CN"/>
        </w:rPr>
        <w:t>农村产权交易中心等已有</w:t>
      </w:r>
      <w:r>
        <w:rPr>
          <w:rFonts w:hint="default" w:ascii="Times New Roman" w:hAnsi="Times New Roman" w:eastAsia="仿宋_GB2312" w:cs="Times New Roman"/>
          <w:sz w:val="32"/>
          <w:szCs w:val="32"/>
          <w:lang w:val="en-US" w:eastAsia="zh-CN"/>
        </w:rPr>
        <w:t>公共资源交易平台</w:t>
      </w:r>
      <w:r>
        <w:rPr>
          <w:rFonts w:hint="eastAsia" w:eastAsia="仿宋_GB2312" w:cs="Times New Roman"/>
          <w:sz w:val="32"/>
          <w:szCs w:val="32"/>
          <w:lang w:val="en-US" w:eastAsia="zh-CN"/>
        </w:rPr>
        <w:t>发布用水权流转信息</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提供</w:t>
      </w:r>
      <w:r>
        <w:rPr>
          <w:rFonts w:hint="default" w:ascii="Times New Roman" w:hAnsi="Times New Roman" w:eastAsia="仿宋_GB2312" w:cs="Times New Roman"/>
          <w:sz w:val="32"/>
          <w:szCs w:val="32"/>
        </w:rPr>
        <w:t>政策咨询、用水权查询等</w:t>
      </w:r>
      <w:r>
        <w:rPr>
          <w:rFonts w:hint="eastAsia" w:eastAsia="仿宋_GB2312" w:cs="Times New Roman"/>
          <w:sz w:val="32"/>
          <w:szCs w:val="32"/>
          <w:lang w:eastAsia="zh-CN"/>
        </w:rPr>
        <w:t>服务，开展水权流转、受理交易申请等工作。</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第二章 </w:t>
      </w:r>
      <w:r>
        <w:rPr>
          <w:rFonts w:hint="eastAsia" w:ascii="黑体" w:hAnsi="黑体" w:cs="黑体"/>
          <w:b w:val="0"/>
          <w:bCs/>
          <w:sz w:val="32"/>
          <w:szCs w:val="32"/>
          <w:lang w:val="en-US" w:eastAsia="zh-CN"/>
        </w:rPr>
        <w:t>流转</w:t>
      </w:r>
      <w:r>
        <w:rPr>
          <w:rFonts w:hint="eastAsia" w:ascii="黑体" w:hAnsi="黑体" w:eastAsia="黑体" w:cs="黑体"/>
          <w:b w:val="0"/>
          <w:bCs/>
          <w:sz w:val="32"/>
          <w:szCs w:val="32"/>
          <w:lang w:val="en-US" w:eastAsia="zh-CN"/>
        </w:rPr>
        <w:t>主体</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的转让方应当是持有农村集体水库山塘</w:t>
      </w:r>
      <w:r>
        <w:rPr>
          <w:rFonts w:hint="eastAsia" w:ascii="仿宋_GB2312" w:hAnsi="仿宋_GB2312" w:eastAsia="仿宋_GB2312" w:cs="仿宋_GB2312"/>
          <w:sz w:val="32"/>
          <w:szCs w:val="32"/>
          <w:lang w:eastAsia="zh-CN"/>
        </w:rPr>
        <w:t>用水权凭证</w:t>
      </w:r>
      <w:r>
        <w:rPr>
          <w:rFonts w:hint="eastAsia" w:ascii="仿宋_GB2312" w:hAnsi="仿宋_GB2312" w:eastAsia="仿宋_GB2312" w:cs="仿宋_GB2312"/>
          <w:sz w:val="32"/>
          <w:szCs w:val="32"/>
        </w:rPr>
        <w:t>的农村集体经济组织。</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农村集体经济组织转让水库山塘用水权，应当按照《浙江省农村集体资产管理条例》的有关规定，经该农村集体经济组织成员大会或者成员代表大会讨论决定。</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凡是法律、法规没有限制的法人和自然人均可作为受让方参与用水权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，受让方应具备相关资质或资格，用水权开发利用项目应当符合</w:t>
      </w:r>
      <w:r>
        <w:rPr>
          <w:rFonts w:hint="eastAsia" w:ascii="仿宋_GB2312" w:hAnsi="仿宋_GB2312" w:eastAsia="仿宋_GB2312" w:cs="仿宋_GB2312"/>
          <w:sz w:val="32"/>
          <w:szCs w:val="32"/>
          <w:lang w:val="en-US" w:eastAsia="zh-CN"/>
        </w:rPr>
        <w:t>温州市</w:t>
      </w:r>
      <w:r>
        <w:rPr>
          <w:rFonts w:hint="eastAsia" w:ascii="仿宋_GB2312" w:hAnsi="仿宋_GB2312" w:eastAsia="仿宋_GB2312" w:cs="仿宋_GB2312"/>
          <w:sz w:val="32"/>
          <w:szCs w:val="32"/>
        </w:rPr>
        <w:t>产业政策。</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第三章 </w:t>
      </w:r>
      <w:r>
        <w:rPr>
          <w:rFonts w:hint="eastAsia" w:ascii="黑体" w:hAnsi="黑体" w:cs="黑体"/>
          <w:b w:val="0"/>
          <w:bCs/>
          <w:sz w:val="32"/>
          <w:szCs w:val="32"/>
          <w:lang w:val="en-US" w:eastAsia="zh-CN"/>
        </w:rPr>
        <w:t>流转程序</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可以采取协商和竞价等方式进行。只有一个符合条件的意向受让方时，采用协商交易方式；有两个（含）以上意向受让方时，采用竞价交易方式。</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转让方应当提供以下材料：</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0" w:name="_Toc17629_WPSOffice_Level3"/>
      <w:r>
        <w:rPr>
          <w:rFonts w:hint="eastAsia" w:ascii="仿宋_GB2312" w:hAnsi="仿宋_GB2312" w:eastAsia="仿宋_GB2312" w:cs="仿宋_GB2312"/>
          <w:sz w:val="32"/>
          <w:szCs w:val="32"/>
        </w:rPr>
        <w:t>（一）用水权转让申请书；</w:t>
      </w:r>
      <w:bookmarkEnd w:id="0"/>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1" w:name="_Toc12904_WPSOffice_Level3"/>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用水权凭证</w:t>
      </w:r>
      <w:r>
        <w:rPr>
          <w:rFonts w:hint="eastAsia" w:ascii="仿宋_GB2312" w:hAnsi="仿宋_GB2312" w:eastAsia="仿宋_GB2312" w:cs="仿宋_GB2312"/>
          <w:sz w:val="32"/>
          <w:szCs w:val="32"/>
        </w:rPr>
        <w:t>；</w:t>
      </w:r>
      <w:bookmarkEnd w:id="1"/>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2" w:name="_Toc17828_WPSOffice_Level3"/>
      <w:r>
        <w:rPr>
          <w:rFonts w:hint="eastAsia" w:ascii="仿宋_GB2312" w:hAnsi="仿宋_GB2312" w:eastAsia="仿宋_GB2312" w:cs="仿宋_GB2312"/>
          <w:sz w:val="32"/>
          <w:szCs w:val="32"/>
        </w:rPr>
        <w:t>（三）农村集体经济组织登记证；</w:t>
      </w:r>
      <w:bookmarkEnd w:id="2"/>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3" w:name="_Toc8009_WPSOffice_Level3"/>
      <w:r>
        <w:rPr>
          <w:rFonts w:hint="eastAsia" w:ascii="仿宋_GB2312" w:hAnsi="仿宋_GB2312" w:eastAsia="仿宋_GB2312" w:cs="仿宋_GB2312"/>
          <w:sz w:val="32"/>
          <w:szCs w:val="32"/>
        </w:rPr>
        <w:t>（四）经办人授权委托书、身份证明材料；</w:t>
      </w:r>
      <w:bookmarkEnd w:id="3"/>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4" w:name="_Toc6297_WPSOffice_Level3"/>
      <w:r>
        <w:rPr>
          <w:rFonts w:hint="eastAsia" w:ascii="仿宋_GB2312" w:hAnsi="仿宋_GB2312" w:eastAsia="仿宋_GB2312" w:cs="仿宋_GB2312"/>
          <w:sz w:val="32"/>
          <w:szCs w:val="32"/>
        </w:rPr>
        <w:t>（五）法律法规、“</w:t>
      </w:r>
      <w:r>
        <w:rPr>
          <w:rFonts w:hint="eastAsia" w:ascii="仿宋_GB2312" w:hAnsi="仿宋_GB2312" w:eastAsia="仿宋_GB2312" w:cs="仿宋_GB2312"/>
          <w:sz w:val="32"/>
          <w:szCs w:val="32"/>
          <w:lang w:val="en-US" w:eastAsia="zh-CN"/>
        </w:rPr>
        <w:t>用水权流转平台</w:t>
      </w:r>
      <w:r>
        <w:rPr>
          <w:rFonts w:hint="eastAsia" w:ascii="仿宋_GB2312" w:hAnsi="仿宋_GB2312" w:eastAsia="仿宋_GB2312" w:cs="仿宋_GB2312"/>
          <w:sz w:val="32"/>
          <w:szCs w:val="32"/>
        </w:rPr>
        <w:t>”规定的其他材料。</w:t>
      </w:r>
      <w:bookmarkEnd w:id="4"/>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rPr>
        <w:t>第十二条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用水权流转平台</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sz w:val="32"/>
          <w:szCs w:val="32"/>
        </w:rPr>
        <w:t>到用水权转让方提交的材料后，应当对交易材料完整性、合规性进行核验。</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用水权流转平台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应当及时公告用水权转让信息，主要包括：山塘水库名称、转让标的、所在的区域位置、交易期限等。</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受让方应当提供以下材料：</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5" w:name="_Toc4179_WPSOffice_Level3"/>
      <w:r>
        <w:rPr>
          <w:rFonts w:hint="eastAsia" w:ascii="仿宋_GB2312" w:hAnsi="仿宋_GB2312" w:eastAsia="仿宋_GB2312" w:cs="仿宋_GB2312"/>
          <w:sz w:val="32"/>
          <w:szCs w:val="32"/>
        </w:rPr>
        <w:t>（一）用水权受让申请书；</w:t>
      </w:r>
      <w:bookmarkEnd w:id="5"/>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pacing w:val="-8"/>
          <w:sz w:val="32"/>
          <w:szCs w:val="32"/>
        </w:rPr>
      </w:pPr>
      <w:bookmarkStart w:id="6" w:name="_Toc13641_WPSOffice_Level3"/>
      <w:r>
        <w:rPr>
          <w:rFonts w:hint="eastAsia" w:ascii="仿宋_GB2312" w:hAnsi="仿宋_GB2312" w:eastAsia="仿宋_GB2312" w:cs="仿宋_GB2312"/>
          <w:sz w:val="32"/>
          <w:szCs w:val="32"/>
        </w:rPr>
        <w:t>（二）统</w:t>
      </w:r>
      <w:r>
        <w:rPr>
          <w:rFonts w:hint="eastAsia" w:ascii="仿宋_GB2312" w:hAnsi="仿宋_GB2312" w:eastAsia="仿宋_GB2312" w:cs="仿宋_GB2312"/>
          <w:spacing w:val="-8"/>
          <w:sz w:val="32"/>
          <w:szCs w:val="32"/>
        </w:rPr>
        <w:t>一社会信用代码证书或自然人身份证明材料；</w:t>
      </w:r>
      <w:bookmarkEnd w:id="6"/>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7" w:name="_Toc30185_WPSOffice_Level3"/>
      <w:r>
        <w:rPr>
          <w:rFonts w:hint="eastAsia" w:ascii="仿宋_GB2312" w:hAnsi="仿宋_GB2312" w:eastAsia="仿宋_GB2312" w:cs="仿宋_GB2312"/>
          <w:sz w:val="32"/>
          <w:szCs w:val="32"/>
        </w:rPr>
        <w:t>（三）经办人授权委托书、身份证明材料；</w:t>
      </w:r>
      <w:bookmarkEnd w:id="7"/>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bookmarkStart w:id="8" w:name="_Toc27056_WPSOffice_Level3"/>
      <w:r>
        <w:rPr>
          <w:rFonts w:hint="eastAsia" w:ascii="仿宋_GB2312" w:hAnsi="仿宋_GB2312" w:eastAsia="仿宋_GB2312" w:cs="仿宋_GB2312"/>
          <w:sz w:val="32"/>
          <w:szCs w:val="32"/>
        </w:rPr>
        <w:t>（四）法律法规、“</w:t>
      </w:r>
      <w:r>
        <w:rPr>
          <w:rFonts w:hint="eastAsia" w:ascii="仿宋_GB2312" w:hAnsi="仿宋_GB2312" w:eastAsia="仿宋_GB2312" w:cs="仿宋_GB2312"/>
          <w:sz w:val="32"/>
          <w:szCs w:val="32"/>
          <w:lang w:val="en-US" w:eastAsia="zh-CN"/>
        </w:rPr>
        <w:t>用水权流转平台</w:t>
      </w:r>
      <w:r>
        <w:rPr>
          <w:rFonts w:hint="eastAsia" w:ascii="仿宋_GB2312" w:hAnsi="仿宋_GB2312" w:eastAsia="仿宋_GB2312" w:cs="仿宋_GB2312"/>
          <w:sz w:val="32"/>
          <w:szCs w:val="32"/>
        </w:rPr>
        <w:t>”要求的其他材料。</w:t>
      </w:r>
      <w:bookmarkEnd w:id="8"/>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用水权流转平台</w:t>
      </w:r>
      <w:r>
        <w:rPr>
          <w:rFonts w:hint="eastAsia" w:ascii="仿宋_GB2312" w:hAnsi="仿宋_GB2312" w:eastAsia="仿宋_GB2312" w:cs="仿宋_GB2312"/>
          <w:sz w:val="32"/>
          <w:szCs w:val="32"/>
        </w:rPr>
        <w:t>”应当及时对用水权拟交易信息进行公示，包括转让方、受让方、交易标的、交易价格、交易期限等。</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农村集体水库山塘用水权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价格根据实行政府指导、市场</w:t>
      </w:r>
      <w:r>
        <w:rPr>
          <w:rFonts w:hint="eastAsia" w:ascii="仿宋_GB2312" w:hAnsi="仿宋_GB2312" w:eastAsia="仿宋_GB2312" w:cs="仿宋_GB2312"/>
          <w:sz w:val="32"/>
          <w:szCs w:val="32"/>
          <w:lang w:eastAsia="zh-CN"/>
        </w:rPr>
        <w:t>自主</w:t>
      </w:r>
      <w:r>
        <w:rPr>
          <w:rFonts w:hint="eastAsia" w:ascii="仿宋_GB2312" w:hAnsi="仿宋_GB2312" w:eastAsia="仿宋_GB2312" w:cs="仿宋_GB2312"/>
          <w:sz w:val="32"/>
          <w:szCs w:val="32"/>
        </w:rPr>
        <w:t>定价。</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用水权交易期限不超过</w:t>
      </w:r>
      <w:r>
        <w:rPr>
          <w:rFonts w:hint="eastAsia" w:ascii="仿宋_GB2312" w:hAnsi="仿宋_GB2312" w:eastAsia="仿宋_GB2312" w:cs="仿宋_GB2312"/>
          <w:sz w:val="32"/>
          <w:szCs w:val="32"/>
          <w:lang w:eastAsia="zh-CN"/>
        </w:rPr>
        <w:t>用水权证</w:t>
      </w:r>
      <w:r>
        <w:rPr>
          <w:rFonts w:hint="eastAsia" w:ascii="仿宋_GB2312" w:hAnsi="仿宋_GB2312" w:eastAsia="仿宋_GB2312" w:cs="仿宋_GB2312"/>
          <w:sz w:val="32"/>
          <w:szCs w:val="32"/>
        </w:rPr>
        <w:t>有效期。</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公示期满无异议的，“</w:t>
      </w:r>
      <w:r>
        <w:rPr>
          <w:rFonts w:hint="eastAsia" w:ascii="仿宋_GB2312" w:hAnsi="仿宋_GB2312" w:eastAsia="仿宋_GB2312" w:cs="仿宋_GB2312"/>
          <w:sz w:val="32"/>
          <w:szCs w:val="32"/>
          <w:lang w:val="en-US" w:eastAsia="zh-CN"/>
        </w:rPr>
        <w:t>用水权流转平台</w:t>
      </w:r>
      <w:r>
        <w:rPr>
          <w:rFonts w:hint="eastAsia" w:ascii="仿宋_GB2312" w:hAnsi="仿宋_GB2312" w:eastAsia="仿宋_GB2312" w:cs="仿宋_GB2312"/>
          <w:sz w:val="32"/>
          <w:szCs w:val="32"/>
        </w:rPr>
        <w:t>”应当组织转让方、受让方签订用水权交易协议，并报</w:t>
      </w:r>
      <w:r>
        <w:rPr>
          <w:rFonts w:hint="eastAsia" w:ascii="仿宋_GB2312" w:hAnsi="仿宋_GB2312" w:eastAsia="仿宋_GB2312" w:cs="仿宋_GB2312"/>
          <w:sz w:val="32"/>
          <w:szCs w:val="32"/>
          <w:lang w:val="en-US" w:eastAsia="zh-CN"/>
        </w:rPr>
        <w:t>属地水行政主管部门</w:t>
      </w:r>
      <w:r>
        <w:rPr>
          <w:rFonts w:hint="eastAsia" w:ascii="仿宋_GB2312" w:hAnsi="仿宋_GB2312" w:eastAsia="仿宋_GB2312" w:cs="仿宋_GB2312"/>
          <w:sz w:val="32"/>
          <w:szCs w:val="32"/>
        </w:rPr>
        <w:t>备案。</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协议应明确用水权交易转让方、受让方、交易标的、交易价格、交易期限、违约责任、争议解决办法等内容。</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用水权流转平台</w:t>
      </w:r>
      <w:r>
        <w:rPr>
          <w:rFonts w:hint="eastAsia" w:ascii="仿宋_GB2312" w:hAnsi="仿宋_GB2312" w:eastAsia="仿宋_GB2312" w:cs="仿宋_GB2312"/>
          <w:sz w:val="32"/>
          <w:szCs w:val="32"/>
        </w:rPr>
        <w:t>”应当及时公示用水权交易成交信息，包括转让方、受让方、交易标的、交易价格、交易期限等。</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后，受让方有取水行为应当</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申领取水许可证。</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监督管理</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不得挤占基本生态用水、农田灌溉合理用水。受让方通过交易获得用水权后不得破坏山塘水库工程设施，不得擅自改变水资源使用用途，不得损害相关利益方用水权益，防汛抗旱期间应当服从</w:t>
      </w:r>
      <w:r>
        <w:rPr>
          <w:rFonts w:hint="eastAsia" w:ascii="仿宋_GB2312" w:hAnsi="仿宋_GB2312" w:eastAsia="仿宋_GB2312" w:cs="仿宋_GB2312"/>
          <w:sz w:val="32"/>
          <w:szCs w:val="32"/>
          <w:lang w:val="en-US" w:eastAsia="zh-CN"/>
        </w:rPr>
        <w:t>水行政主管部门</w:t>
      </w:r>
      <w:r>
        <w:rPr>
          <w:rFonts w:hint="eastAsia" w:ascii="仿宋_GB2312" w:hAnsi="仿宋_GB2312" w:eastAsia="仿宋_GB2312" w:cs="仿宋_GB2312"/>
          <w:sz w:val="32"/>
          <w:szCs w:val="32"/>
        </w:rPr>
        <w:t>的统一调度管理。</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用水权交易收益属于农村集体经济组织所有，优先用于山塘水库的管护和水资源保护，助力乡村振兴与共同富裕，具体按照农村集体经济组织</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支出有关规定使用。</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交易双方因履行用水权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协议而发生争议的，应协商解决；协商不成的，可报请属地乡镇人民政府（街道办）调解或向人民法院提起民事诉讼。</w:t>
      </w:r>
    </w:p>
    <w:p>
      <w:pPr>
        <w:pStyle w:val="14"/>
        <w:keepNext w:val="0"/>
        <w:keepLines w:val="0"/>
        <w:pageBreakBefore w:val="0"/>
        <w:widowControl w:val="0"/>
        <w:kinsoku/>
        <w:wordWrap/>
        <w:overflowPunct w:val="0"/>
        <w:topLinePunct w:val="0"/>
        <w:autoSpaceDE/>
        <w:autoSpaceDN/>
        <w:bidi w:val="0"/>
        <w:adjustRightInd w:val="0"/>
        <w:snapToGrid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有关部门及其相关工作人员在农村集体水库山</w:t>
      </w:r>
      <w:bookmarkStart w:id="9" w:name="_GoBack"/>
      <w:bookmarkEnd w:id="9"/>
      <w:r>
        <w:rPr>
          <w:rFonts w:hint="eastAsia" w:ascii="仿宋_GB2312" w:hAnsi="仿宋_GB2312" w:eastAsia="仿宋_GB2312" w:cs="仿宋_GB2312"/>
          <w:sz w:val="32"/>
          <w:szCs w:val="32"/>
        </w:rPr>
        <w:t>塘用水权</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监管工作中滥用职权、玩忽职守、徇私舞弊的，责令改正；情节严重的，依法追究责任。交易主体提供虚假信息损害公共利益的，视情节严重程度依法追究责任。</w:t>
      </w:r>
    </w:p>
    <w:p>
      <w:pPr>
        <w:pStyle w:val="7"/>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附则</w:t>
      </w:r>
    </w:p>
    <w:p>
      <w:pPr>
        <w:pStyle w:val="14"/>
        <w:keepNext w:val="0"/>
        <w:keepLines w:val="0"/>
        <w:pageBreakBefore w:val="0"/>
        <w:widowControl w:val="0"/>
        <w:kinsoku/>
        <w:wordWrap/>
        <w:overflowPunct w:val="0"/>
        <w:topLinePunct w:val="0"/>
        <w:autoSpaceDE/>
        <w:autoSpaceDN/>
        <w:bidi w:val="0"/>
        <w:spacing w:after="0" w:afterLines="0"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温州市水利局</w:t>
      </w:r>
      <w:r>
        <w:rPr>
          <w:rFonts w:hint="eastAsia" w:ascii="仿宋_GB2312" w:hAnsi="仿宋_GB2312" w:eastAsia="仿宋_GB2312" w:cs="仿宋_GB2312"/>
          <w:sz w:val="32"/>
          <w:szCs w:val="32"/>
        </w:rPr>
        <w:t>负责解释。</w:t>
      </w:r>
    </w:p>
    <w:p>
      <w:pPr>
        <w:pStyle w:val="14"/>
        <w:keepNext w:val="0"/>
        <w:keepLines w:val="0"/>
        <w:pageBreakBefore w:val="0"/>
        <w:widowControl w:val="0"/>
        <w:kinsoku/>
        <w:wordWrap/>
        <w:topLinePunct w:val="0"/>
        <w:autoSpaceDE/>
        <w:autoSpaceDN/>
        <w:bidi w:val="0"/>
        <w:spacing w:after="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印发之日</w:t>
      </w:r>
      <w:r>
        <w:rPr>
          <w:rFonts w:hint="eastAsia" w:ascii="仿宋_GB2312" w:hAnsi="仿宋_GB2312" w:eastAsia="仿宋_GB2312" w:cs="仿宋_GB2312"/>
          <w:sz w:val="32"/>
          <w:szCs w:val="32"/>
        </w:rPr>
        <w:t>起施行。</w:t>
      </w:r>
    </w:p>
    <w:p>
      <w:pPr>
        <w:pStyle w:val="14"/>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pPr>
        <w:pStyle w:val="14"/>
        <w:overflowPunct w:val="0"/>
        <w:snapToGrid w:val="0"/>
        <w:spacing w:after="0" w:line="560" w:lineRule="exact"/>
        <w:ind w:firstLine="627" w:firstLineChars="196"/>
        <w:jc w:val="left"/>
        <w:rPr>
          <w:rFonts w:hint="default" w:ascii="Times New Roman" w:hAnsi="Times New Roman" w:eastAsia="仿宋_GB2312" w:cs="Times New Roman"/>
          <w:b w:val="0"/>
          <w:sz w:val="32"/>
          <w:szCs w:val="32"/>
        </w:rPr>
      </w:pPr>
    </w:p>
    <w:p>
      <w:pPr>
        <w:pStyle w:val="14"/>
        <w:overflowPunct w:val="0"/>
        <w:snapToGrid w:val="0"/>
        <w:spacing w:after="0" w:line="560" w:lineRule="exact"/>
        <w:ind w:firstLine="627" w:firstLineChars="196"/>
        <w:jc w:val="left"/>
        <w:rPr>
          <w:rFonts w:hint="default" w:ascii="Times New Roman" w:hAnsi="Times New Roman" w:eastAsia="仿宋_GB2312" w:cs="Times New Roman"/>
          <w:b w:val="0"/>
          <w:sz w:val="32"/>
          <w:szCs w:val="32"/>
        </w:rPr>
      </w:pPr>
    </w:p>
    <w:p>
      <w:pPr>
        <w:pStyle w:val="14"/>
        <w:spacing w:line="400" w:lineRule="exact"/>
        <w:jc w:val="left"/>
      </w:pPr>
    </w:p>
    <w:p>
      <w:pPr>
        <w:pStyle w:val="2"/>
        <w:ind w:left="0" w:leftChars="0" w:firstLine="0" w:firstLineChars="0"/>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pStyle w:val="6"/>
        <w:rPr>
          <w:rFonts w:hint="eastAsia" w:ascii="宋体" w:hAnsi="宋体" w:eastAsia="CESI仿宋-GB13000" w:cs="CESI仿宋-GB13000"/>
          <w:sz w:val="32"/>
          <w:szCs w:val="32"/>
          <w:highlight w:val="none"/>
          <w:lang w:val="en-US" w:eastAsia="zh-CN"/>
        </w:rPr>
      </w:pPr>
    </w:p>
    <w:p>
      <w:pPr>
        <w:pStyle w:val="2"/>
        <w:rPr>
          <w:rFonts w:hint="eastAsia" w:ascii="宋体" w:hAnsi="宋体" w:eastAsia="CESI仿宋-GB13000" w:cs="CESI仿宋-GB13000"/>
          <w:sz w:val="32"/>
          <w:szCs w:val="32"/>
          <w:highlight w:val="none"/>
          <w:lang w:val="en-US" w:eastAsia="zh-CN"/>
        </w:rPr>
      </w:pPr>
    </w:p>
    <w:p>
      <w:pPr>
        <w:snapToGrid w:val="0"/>
        <w:spacing w:line="560" w:lineRule="exact"/>
        <w:jc w:val="both"/>
        <w:outlineLvl w:val="0"/>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附件4</w:t>
      </w:r>
    </w:p>
    <w:p>
      <w:pPr>
        <w:pStyle w:val="14"/>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center"/>
        <w:textAlignment w:val="auto"/>
        <w:rPr>
          <w:rFonts w:hint="eastAsia" w:ascii="方正小标宋简体" w:eastAsia="方正小标宋简体"/>
          <w:color w:val="auto"/>
          <w:sz w:val="32"/>
          <w:szCs w:val="32"/>
          <w:highlight w:val="none"/>
          <w:lang w:eastAsia="zh-CN"/>
        </w:rPr>
      </w:pP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r>
        <w:rPr>
          <w:rFonts w:hint="eastAsia" w:ascii="方正小标宋简体" w:eastAsia="方正小标宋简体"/>
          <w:color w:val="auto"/>
          <w:sz w:val="32"/>
          <w:szCs w:val="32"/>
          <w:highlight w:val="none"/>
        </w:rPr>
        <w:t>乡镇（街道）</w:t>
      </w:r>
      <w:r>
        <w:rPr>
          <w:rFonts w:hint="eastAsia" w:ascii="方正小标宋简体" w:eastAsia="方正小标宋简体"/>
          <w:color w:val="auto"/>
          <w:sz w:val="32"/>
          <w:szCs w:val="32"/>
          <w:highlight w:val="none"/>
          <w:lang w:eastAsia="zh-CN"/>
        </w:rPr>
        <w:t>农村集体山塘水库</w:t>
      </w:r>
    </w:p>
    <w:p>
      <w:pPr>
        <w:pStyle w:val="14"/>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center"/>
        <w:textAlignment w:val="auto"/>
        <w:rPr>
          <w:rFonts w:hint="eastAsia" w:ascii="Times New Roman" w:hAnsi="Times New Roman" w:eastAsia="方正小标宋简体"/>
          <w:color w:val="auto"/>
          <w:sz w:val="32"/>
          <w:szCs w:val="32"/>
          <w:highlight w:val="none"/>
          <w:lang w:eastAsia="zh-CN"/>
        </w:rPr>
      </w:pPr>
      <w:r>
        <w:rPr>
          <w:rFonts w:hint="eastAsia" w:ascii="方正小标宋简体" w:eastAsia="方正小标宋简体"/>
          <w:color w:val="auto"/>
          <w:sz w:val="32"/>
          <w:szCs w:val="32"/>
          <w:highlight w:val="none"/>
        </w:rPr>
        <w:t>用水权确权审核意见</w:t>
      </w:r>
      <w:r>
        <w:rPr>
          <w:rFonts w:hint="eastAsia" w:ascii="方正小标宋简体" w:eastAsia="方正小标宋简体"/>
          <w:color w:val="auto"/>
          <w:sz w:val="32"/>
          <w:szCs w:val="32"/>
          <w:highlight w:val="none"/>
          <w:lang w:eastAsia="zh-CN"/>
        </w:rPr>
        <w:t>表</w:t>
      </w:r>
    </w:p>
    <w:tbl>
      <w:tblPr>
        <w:tblStyle w:val="15"/>
        <w:tblW w:w="9384" w:type="dxa"/>
        <w:jc w:val="center"/>
        <w:tblLayout w:type="fixed"/>
        <w:tblCellMar>
          <w:top w:w="0" w:type="dxa"/>
          <w:left w:w="0" w:type="dxa"/>
          <w:bottom w:w="0" w:type="dxa"/>
          <w:right w:w="0" w:type="dxa"/>
        </w:tblCellMar>
      </w:tblPr>
      <w:tblGrid>
        <w:gridCol w:w="1211"/>
        <w:gridCol w:w="1552"/>
        <w:gridCol w:w="1679"/>
        <w:gridCol w:w="1948"/>
        <w:gridCol w:w="2994"/>
      </w:tblGrid>
      <w:tr>
        <w:tblPrEx>
          <w:tblCellMar>
            <w:top w:w="0" w:type="dxa"/>
            <w:left w:w="0" w:type="dxa"/>
            <w:bottom w:w="0" w:type="dxa"/>
            <w:right w:w="0" w:type="dxa"/>
          </w:tblCellMar>
        </w:tblPrEx>
        <w:trPr>
          <w:trHeight w:val="739" w:hRule="atLeast"/>
          <w:jc w:val="center"/>
        </w:trPr>
        <w:tc>
          <w:tcPr>
            <w:tcW w:w="121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color w:val="auto"/>
                <w:highlight w:val="none"/>
              </w:rPr>
            </w:pPr>
          </w:p>
          <w:p>
            <w:pPr>
              <w:spacing w:line="420" w:lineRule="exact"/>
              <w:jc w:val="center"/>
              <w:rPr>
                <w:rFonts w:hint="eastAsia"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水库（塘）</w:t>
            </w:r>
          </w:p>
          <w:p>
            <w:pPr>
              <w:jc w:val="center"/>
              <w:rPr>
                <w:color w:val="auto"/>
                <w:highlight w:val="none"/>
              </w:rPr>
            </w:pPr>
            <w:r>
              <w:rPr>
                <w:rFonts w:hint="eastAsia" w:ascii="宋体" w:hAnsi="宋体"/>
                <w:b/>
                <w:bCs/>
                <w:color w:val="auto"/>
                <w:kern w:val="0"/>
                <w:szCs w:val="21"/>
                <w:highlight w:val="none"/>
                <w:lang w:val="en-US" w:eastAsia="zh-CN"/>
              </w:rPr>
              <w:t>基本信息</w:t>
            </w:r>
          </w:p>
          <w:p>
            <w:pPr>
              <w:widowControl/>
              <w:spacing w:line="420" w:lineRule="exact"/>
              <w:jc w:val="center"/>
              <w:textAlignment w:val="auto"/>
              <w:rPr>
                <w:rFonts w:ascii="宋体" w:hAnsi="宋体"/>
                <w:b/>
                <w:bCs/>
                <w:color w:val="auto"/>
                <w:szCs w:val="21"/>
                <w:highlight w:val="none"/>
              </w:rPr>
            </w:pPr>
          </w:p>
        </w:tc>
        <w:tc>
          <w:tcPr>
            <w:tcW w:w="1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rPr>
              <w:t>名称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jc w:val="center"/>
              <w:rPr>
                <w:rFonts w:ascii="宋体" w:hAnsi="宋体"/>
                <w:color w:val="auto"/>
                <w:szCs w:val="21"/>
                <w:highlight w:val="none"/>
              </w:rPr>
            </w:pPr>
          </w:p>
        </w:tc>
        <w:tc>
          <w:tcPr>
            <w:tcW w:w="19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hint="default" w:ascii="宋体" w:hAnsi="宋体"/>
                <w:color w:val="auto"/>
                <w:szCs w:val="21"/>
                <w:highlight w:val="none"/>
                <w:lang w:val="en-US"/>
              </w:rPr>
            </w:pPr>
            <w:r>
              <w:rPr>
                <w:rFonts w:hint="eastAsia" w:ascii="宋体" w:hAnsi="宋体"/>
                <w:color w:val="auto"/>
                <w:kern w:val="0"/>
                <w:szCs w:val="21"/>
                <w:highlight w:val="none"/>
                <w:lang w:val="en-US" w:eastAsia="zh-CN"/>
              </w:rPr>
              <w:t>功能</w:t>
            </w:r>
          </w:p>
        </w:tc>
        <w:tc>
          <w:tcPr>
            <w:tcW w:w="29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rPr>
                <w:rFonts w:hint="eastAsia" w:ascii="宋体" w:hAnsi="宋体"/>
                <w:color w:val="auto"/>
                <w:szCs w:val="21"/>
                <w:highlight w:val="none"/>
              </w:rPr>
            </w:pPr>
            <w:r>
              <w:rPr>
                <w:rFonts w:ascii="宋体" w:hAnsi="宋体"/>
                <w:color w:val="auto"/>
                <w:szCs w:val="21"/>
                <w:highlight w:val="none"/>
              </w:rPr>
              <w:sym w:font="Wingdings" w:char="00A8"/>
            </w:r>
            <w:r>
              <w:rPr>
                <w:rFonts w:hint="eastAsia" w:ascii="宋体" w:hAnsi="宋体"/>
                <w:color w:val="auto"/>
                <w:szCs w:val="21"/>
                <w:highlight w:val="none"/>
              </w:rPr>
              <w:t xml:space="preserve">灌溉 </w:t>
            </w:r>
            <w:r>
              <w:rPr>
                <w:rFonts w:ascii="宋体" w:hAnsi="宋体"/>
                <w:color w:val="auto"/>
                <w:szCs w:val="21"/>
                <w:highlight w:val="none"/>
              </w:rPr>
              <w:sym w:font="Wingdings" w:char="00A8"/>
            </w:r>
            <w:r>
              <w:rPr>
                <w:rFonts w:hint="eastAsia" w:ascii="宋体" w:hAnsi="宋体"/>
                <w:color w:val="auto"/>
                <w:szCs w:val="21"/>
                <w:highlight w:val="none"/>
              </w:rPr>
              <w:t xml:space="preserve">供水 </w:t>
            </w:r>
            <w:r>
              <w:rPr>
                <w:rFonts w:ascii="宋体" w:hAnsi="宋体"/>
                <w:color w:val="auto"/>
                <w:szCs w:val="21"/>
                <w:highlight w:val="none"/>
              </w:rPr>
              <w:sym w:font="Wingdings" w:char="00A8"/>
            </w:r>
            <w:r>
              <w:rPr>
                <w:rFonts w:hint="eastAsia" w:ascii="宋体" w:hAnsi="宋体"/>
                <w:color w:val="auto"/>
                <w:szCs w:val="21"/>
                <w:highlight w:val="none"/>
              </w:rPr>
              <w:t xml:space="preserve">景观 </w:t>
            </w:r>
            <w:r>
              <w:rPr>
                <w:rFonts w:ascii="宋体" w:hAnsi="宋体"/>
                <w:color w:val="auto"/>
                <w:szCs w:val="21"/>
                <w:highlight w:val="none"/>
              </w:rPr>
              <w:sym w:font="Wingdings" w:char="00A8"/>
            </w:r>
            <w:r>
              <w:rPr>
                <w:rFonts w:hint="eastAsia" w:ascii="宋体" w:hAnsi="宋体"/>
                <w:color w:val="auto"/>
                <w:szCs w:val="21"/>
                <w:highlight w:val="none"/>
              </w:rPr>
              <w:t>发电</w:t>
            </w:r>
          </w:p>
          <w:p>
            <w:pPr>
              <w:spacing w:line="420" w:lineRule="exact"/>
              <w:rPr>
                <w:rFonts w:ascii="宋体" w:hAnsi="宋体"/>
                <w:color w:val="auto"/>
                <w:szCs w:val="21"/>
                <w:highlight w:val="none"/>
              </w:rPr>
            </w:pPr>
            <w:r>
              <w:rPr>
                <w:rFonts w:ascii="宋体" w:hAnsi="宋体"/>
                <w:color w:val="auto"/>
                <w:szCs w:val="21"/>
                <w:highlight w:val="none"/>
              </w:rPr>
              <w:sym w:font="Wingdings" w:char="00A8"/>
            </w:r>
            <w:r>
              <w:rPr>
                <w:rFonts w:hint="eastAsia" w:ascii="宋体" w:hAnsi="宋体"/>
                <w:color w:val="auto"/>
                <w:szCs w:val="21"/>
                <w:highlight w:val="none"/>
              </w:rPr>
              <w:t>其他</w:t>
            </w:r>
          </w:p>
        </w:tc>
      </w:tr>
      <w:tr>
        <w:tblPrEx>
          <w:tblCellMar>
            <w:top w:w="0" w:type="dxa"/>
            <w:left w:w="0" w:type="dxa"/>
            <w:bottom w:w="0" w:type="dxa"/>
            <w:right w:w="0" w:type="dxa"/>
          </w:tblCellMar>
        </w:tblPrEx>
        <w:trPr>
          <w:trHeight w:val="784" w:hRule="atLeast"/>
          <w:jc w:val="center"/>
        </w:trPr>
        <w:tc>
          <w:tcPr>
            <w:tcW w:w="1211"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jc w:val="center"/>
              <w:rPr>
                <w:rFonts w:ascii="宋体" w:hAnsi="宋体"/>
                <w:b/>
                <w:bCs/>
                <w:color w:val="auto"/>
                <w:szCs w:val="21"/>
                <w:highlight w:val="none"/>
              </w:rPr>
            </w:pPr>
          </w:p>
        </w:tc>
        <w:tc>
          <w:tcPr>
            <w:tcW w:w="1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hint="eastAsia" w:ascii="宋体" w:hAnsi="宋体"/>
                <w:color w:val="auto"/>
                <w:kern w:val="0"/>
                <w:szCs w:val="21"/>
                <w:highlight w:val="none"/>
              </w:rPr>
            </w:pPr>
            <w:r>
              <w:rPr>
                <w:rFonts w:hint="eastAsia" w:ascii="宋体" w:hAnsi="宋体"/>
                <w:color w:val="auto"/>
                <w:kern w:val="0"/>
                <w:szCs w:val="21"/>
                <w:highlight w:val="none"/>
              </w:rPr>
              <w:t>多年平均可供水量（万</w:t>
            </w:r>
            <w:r>
              <w:rPr>
                <w:rFonts w:hint="default" w:ascii="Times New Roman" w:hAnsi="Times New Roman" w:cs="Times New Roman"/>
                <w:color w:val="auto"/>
                <w:kern w:val="0"/>
                <w:szCs w:val="21"/>
                <w:highlight w:val="none"/>
                <w:lang w:val="en-US" w:eastAsia="zh-CN"/>
              </w:rPr>
              <w:t>m</w:t>
            </w:r>
            <w:r>
              <w:rPr>
                <w:rFonts w:hint="default" w:ascii="Times New Roman" w:hAnsi="Times New Roman" w:cs="Times New Roman"/>
                <w:color w:val="auto"/>
                <w:kern w:val="0"/>
                <w:szCs w:val="21"/>
                <w:highlight w:val="none"/>
                <w:vertAlign w:val="superscript"/>
                <w:lang w:val="en-US" w:eastAsia="zh-CN"/>
              </w:rPr>
              <w:t>3</w:t>
            </w:r>
            <w:r>
              <w:rPr>
                <w:rStyle w:val="16"/>
                <w:rFonts w:hint="eastAsia"/>
                <w:b w:val="0"/>
                <w:color w:val="auto"/>
                <w:kern w:val="0"/>
                <w:sz w:val="21"/>
                <w:szCs w:val="21"/>
                <w:highlight w:val="none"/>
              </w:rPr>
              <w:t>）</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hint="eastAsia" w:ascii="宋体" w:hAnsi="宋体"/>
                <w:color w:val="auto"/>
                <w:kern w:val="0"/>
                <w:szCs w:val="21"/>
                <w:highlight w:val="none"/>
              </w:rPr>
            </w:pPr>
          </w:p>
        </w:tc>
        <w:tc>
          <w:tcPr>
            <w:tcW w:w="19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灌溉面积（亩）</w:t>
            </w:r>
          </w:p>
        </w:tc>
        <w:tc>
          <w:tcPr>
            <w:tcW w:w="29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rPr>
                <w:rFonts w:ascii="宋体" w:hAnsi="宋体"/>
                <w:color w:val="auto"/>
                <w:szCs w:val="21"/>
                <w:highlight w:val="none"/>
              </w:rPr>
            </w:pPr>
          </w:p>
        </w:tc>
      </w:tr>
      <w:tr>
        <w:tblPrEx>
          <w:tblCellMar>
            <w:top w:w="0" w:type="dxa"/>
            <w:left w:w="0" w:type="dxa"/>
            <w:bottom w:w="0" w:type="dxa"/>
            <w:right w:w="0" w:type="dxa"/>
          </w:tblCellMar>
        </w:tblPrEx>
        <w:trPr>
          <w:trHeight w:val="534" w:hRule="atLeast"/>
          <w:jc w:val="center"/>
        </w:trPr>
        <w:tc>
          <w:tcPr>
            <w:tcW w:w="121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hint="eastAsia"/>
                <w:b/>
                <w:bCs/>
                <w:color w:val="auto"/>
                <w:highlight w:val="none"/>
              </w:rPr>
            </w:pPr>
            <w:r>
              <w:rPr>
                <w:rFonts w:hint="eastAsia"/>
                <w:b/>
                <w:bCs/>
                <w:color w:val="auto"/>
                <w:highlight w:val="none"/>
              </w:rPr>
              <w:t>申请人</w:t>
            </w:r>
          </w:p>
          <w:p>
            <w:pPr>
              <w:widowControl/>
              <w:spacing w:line="420" w:lineRule="exact"/>
              <w:jc w:val="center"/>
              <w:textAlignment w:val="center"/>
              <w:rPr>
                <w:rFonts w:hint="eastAsia"/>
                <w:b/>
                <w:bCs/>
                <w:color w:val="auto"/>
                <w:highlight w:val="none"/>
              </w:rPr>
            </w:pPr>
            <w:r>
              <w:rPr>
                <w:rFonts w:hint="eastAsia"/>
                <w:b/>
                <w:bCs/>
                <w:color w:val="auto"/>
                <w:highlight w:val="none"/>
                <w:lang w:eastAsia="zh-CN"/>
              </w:rPr>
              <w:t>基本信息</w:t>
            </w:r>
          </w:p>
          <w:p>
            <w:pPr>
              <w:widowControl/>
              <w:spacing w:line="420" w:lineRule="exact"/>
              <w:jc w:val="center"/>
              <w:textAlignment w:val="center"/>
              <w:rPr>
                <w:rFonts w:ascii="宋体" w:hAnsi="宋体"/>
                <w:b/>
                <w:bCs/>
                <w:color w:val="auto"/>
                <w:szCs w:val="21"/>
                <w:highlight w:val="none"/>
              </w:rPr>
            </w:pPr>
          </w:p>
        </w:tc>
        <w:tc>
          <w:tcPr>
            <w:tcW w:w="1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ind w:firstLine="420" w:firstLineChars="200"/>
              <w:jc w:val="both"/>
              <w:textAlignment w:val="center"/>
              <w:rPr>
                <w:rFonts w:hint="eastAsia" w:eastAsia="宋体"/>
                <w:color w:val="auto"/>
                <w:highlight w:val="none"/>
                <w:lang w:eastAsia="zh-CN"/>
              </w:rPr>
            </w:pPr>
            <w:r>
              <w:rPr>
                <w:rFonts w:hint="eastAsia"/>
                <w:color w:val="auto"/>
                <w:highlight w:val="none"/>
                <w:lang w:eastAsia="zh-CN"/>
              </w:rPr>
              <w:t>名称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ascii="宋体" w:hAnsi="宋体"/>
                <w:color w:val="auto"/>
                <w:szCs w:val="21"/>
                <w:highlight w:val="none"/>
              </w:rPr>
            </w:pPr>
          </w:p>
        </w:tc>
        <w:tc>
          <w:tcPr>
            <w:tcW w:w="19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jc w:val="center"/>
              <w:rPr>
                <w:rFonts w:ascii="宋体" w:hAnsi="宋体"/>
                <w:color w:val="auto"/>
                <w:szCs w:val="21"/>
                <w:highlight w:val="none"/>
              </w:rPr>
            </w:pPr>
            <w:r>
              <w:rPr>
                <w:rFonts w:hint="eastAsia" w:ascii="宋体" w:hAnsi="宋体"/>
                <w:color w:val="auto"/>
                <w:kern w:val="0"/>
                <w:szCs w:val="21"/>
                <w:highlight w:val="none"/>
              </w:rPr>
              <w:t>统一社会信用代码</w:t>
            </w:r>
          </w:p>
        </w:tc>
        <w:tc>
          <w:tcPr>
            <w:tcW w:w="29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jc w:val="center"/>
              <w:rPr>
                <w:rFonts w:ascii="宋体" w:hAnsi="宋体"/>
                <w:color w:val="auto"/>
                <w:szCs w:val="21"/>
                <w:highlight w:val="none"/>
              </w:rPr>
            </w:pPr>
          </w:p>
        </w:tc>
      </w:tr>
      <w:tr>
        <w:tblPrEx>
          <w:tblCellMar>
            <w:top w:w="0" w:type="dxa"/>
            <w:left w:w="0" w:type="dxa"/>
            <w:bottom w:w="0" w:type="dxa"/>
            <w:right w:w="0" w:type="dxa"/>
          </w:tblCellMar>
        </w:tblPrEx>
        <w:trPr>
          <w:trHeight w:val="531" w:hRule="atLeast"/>
          <w:jc w:val="center"/>
        </w:trPr>
        <w:tc>
          <w:tcPr>
            <w:tcW w:w="121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ascii="宋体" w:hAnsi="宋体"/>
                <w:b/>
                <w:bCs/>
                <w:color w:val="auto"/>
                <w:szCs w:val="21"/>
                <w:highlight w:val="none"/>
              </w:rPr>
            </w:pPr>
          </w:p>
        </w:tc>
        <w:tc>
          <w:tcPr>
            <w:tcW w:w="1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highlight w:val="none"/>
                <w:lang w:eastAsia="zh-CN"/>
              </w:rPr>
              <w:t>法人代表</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color w:val="auto"/>
                <w:kern w:val="2"/>
                <w:sz w:val="21"/>
                <w:highlight w:val="none"/>
                <w:lang w:val="en-US" w:eastAsia="zh-CN" w:bidi="ar-SA"/>
              </w:rPr>
            </w:pPr>
          </w:p>
        </w:tc>
        <w:tc>
          <w:tcPr>
            <w:tcW w:w="19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cs="Times New Roman"/>
                <w:color w:val="auto"/>
                <w:highlight w:val="none"/>
                <w:lang w:val="en-US" w:eastAsia="zh-CN"/>
              </w:rPr>
              <w:t>身份证号码</w:t>
            </w:r>
          </w:p>
        </w:tc>
        <w:tc>
          <w:tcPr>
            <w:tcW w:w="29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snapToGrid/>
              <w:spacing w:line="420" w:lineRule="exact"/>
              <w:jc w:val="left"/>
              <w:rPr>
                <w:rFonts w:hint="default" w:ascii="Times New Roman" w:hAnsi="Times New Roman" w:eastAsia="宋体" w:cs="Times New Roman"/>
                <w:color w:val="auto"/>
                <w:kern w:val="2"/>
                <w:sz w:val="21"/>
                <w:highlight w:val="none"/>
                <w:lang w:val="en-US" w:eastAsia="zh-CN" w:bidi="ar-SA"/>
              </w:rPr>
            </w:pPr>
          </w:p>
        </w:tc>
      </w:tr>
      <w:tr>
        <w:tblPrEx>
          <w:tblCellMar>
            <w:top w:w="0" w:type="dxa"/>
            <w:left w:w="0" w:type="dxa"/>
            <w:bottom w:w="0" w:type="dxa"/>
            <w:right w:w="0" w:type="dxa"/>
          </w:tblCellMar>
        </w:tblPrEx>
        <w:trPr>
          <w:trHeight w:val="526" w:hRule="atLeast"/>
          <w:jc w:val="center"/>
        </w:trPr>
        <w:tc>
          <w:tcPr>
            <w:tcW w:w="121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ascii="宋体" w:hAnsi="宋体"/>
                <w:color w:val="auto"/>
                <w:kern w:val="0"/>
                <w:szCs w:val="21"/>
                <w:highlight w:val="none"/>
              </w:rPr>
            </w:pPr>
          </w:p>
        </w:tc>
        <w:tc>
          <w:tcPr>
            <w:tcW w:w="15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highlight w:val="none"/>
              </w:rPr>
              <w:t>联系人</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color w:val="auto"/>
                <w:kern w:val="2"/>
                <w:sz w:val="21"/>
                <w:highlight w:val="none"/>
                <w:lang w:val="en-US" w:eastAsia="zh-CN" w:bidi="ar-SA"/>
              </w:rPr>
            </w:pPr>
          </w:p>
        </w:tc>
        <w:tc>
          <w:tcPr>
            <w:tcW w:w="19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highlight w:val="none"/>
              </w:rPr>
              <w:t>联系号码</w:t>
            </w:r>
          </w:p>
        </w:tc>
        <w:tc>
          <w:tcPr>
            <w:tcW w:w="29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color w:val="auto"/>
                <w:kern w:val="2"/>
                <w:sz w:val="21"/>
                <w:highlight w:val="none"/>
                <w:lang w:val="en-US" w:eastAsia="zh-CN" w:bidi="ar-SA"/>
              </w:rPr>
            </w:pPr>
          </w:p>
        </w:tc>
      </w:tr>
      <w:tr>
        <w:tblPrEx>
          <w:tblCellMar>
            <w:top w:w="0" w:type="dxa"/>
            <w:left w:w="0" w:type="dxa"/>
            <w:bottom w:w="0" w:type="dxa"/>
            <w:right w:w="0" w:type="dxa"/>
          </w:tblCellMar>
        </w:tblPrEx>
        <w:trPr>
          <w:trHeight w:val="453"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申请</w:t>
            </w:r>
          </w:p>
          <w:p>
            <w:pPr>
              <w:adjustRightInd w:val="0"/>
              <w:snapToGrid w:val="0"/>
              <w:jc w:val="center"/>
              <w:rPr>
                <w:rFonts w:hint="default" w:ascii="Times New Roman" w:hAnsi="Times New Roman" w:eastAsia="宋体" w:cs="Times New Roman"/>
                <w:b/>
                <w:bCs/>
                <w:color w:val="auto"/>
                <w:kern w:val="2"/>
                <w:sz w:val="21"/>
                <w:highlight w:val="none"/>
                <w:lang w:val="en-US" w:eastAsia="zh-CN" w:bidi="ar-SA"/>
              </w:rPr>
            </w:pPr>
            <w:r>
              <w:rPr>
                <w:rFonts w:hint="eastAsia" w:ascii="Times New Roman" w:hAnsi="Times New Roman" w:cs="Times New Roman"/>
                <w:b/>
                <w:bCs/>
                <w:color w:val="auto"/>
                <w:highlight w:val="none"/>
                <w:lang w:val="en-US" w:eastAsia="zh-CN"/>
              </w:rPr>
              <w:t>用水</w:t>
            </w:r>
            <w:r>
              <w:rPr>
                <w:rFonts w:hint="default" w:ascii="Times New Roman" w:hAnsi="Times New Roman" w:cs="Times New Roman"/>
                <w:b/>
                <w:bCs/>
                <w:color w:val="auto"/>
                <w:highlight w:val="none"/>
                <w:lang w:val="en-US" w:eastAsia="zh-CN"/>
              </w:rPr>
              <w:t>权量</w:t>
            </w:r>
          </w:p>
        </w:tc>
        <w:tc>
          <w:tcPr>
            <w:tcW w:w="8173"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highlight w:val="none"/>
                <w:lang w:val="en-US" w:eastAsia="zh-CN"/>
              </w:rPr>
              <w:t>万</w:t>
            </w:r>
            <w:r>
              <w:rPr>
                <w:rFonts w:hint="default" w:ascii="Times New Roman" w:hAnsi="Times New Roman" w:cs="Times New Roman"/>
                <w:color w:val="auto"/>
                <w:kern w:val="0"/>
                <w:szCs w:val="21"/>
                <w:highlight w:val="none"/>
                <w:lang w:val="en-US" w:eastAsia="zh-CN"/>
              </w:rPr>
              <w:t>m</w:t>
            </w:r>
            <w:r>
              <w:rPr>
                <w:rFonts w:hint="default" w:ascii="Times New Roman" w:hAnsi="Times New Roman" w:cs="Times New Roman"/>
                <w:color w:val="auto"/>
                <w:kern w:val="0"/>
                <w:szCs w:val="21"/>
                <w:highlight w:val="none"/>
                <w:vertAlign w:val="superscript"/>
                <w:lang w:val="en-US" w:eastAsia="zh-CN"/>
              </w:rPr>
              <w:t>3</w:t>
            </w:r>
          </w:p>
        </w:tc>
      </w:tr>
      <w:tr>
        <w:tblPrEx>
          <w:tblCellMar>
            <w:top w:w="0" w:type="dxa"/>
            <w:left w:w="0" w:type="dxa"/>
            <w:bottom w:w="0" w:type="dxa"/>
            <w:right w:w="0" w:type="dxa"/>
          </w:tblCellMar>
        </w:tblPrEx>
        <w:trPr>
          <w:trHeight w:val="5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取水工程</w:t>
            </w:r>
            <w:r>
              <w:rPr>
                <w:rFonts w:hint="eastAsia" w:ascii="Times New Roman" w:hAnsi="Times New Roman" w:cs="Times New Roman"/>
                <w:b/>
                <w:bCs/>
                <w:color w:val="auto"/>
                <w:highlight w:val="none"/>
                <w:lang w:val="en-US" w:eastAsia="zh-CN"/>
              </w:rPr>
              <w:br w:type="textWrapping"/>
            </w:r>
            <w:r>
              <w:rPr>
                <w:rFonts w:hint="eastAsia" w:ascii="Times New Roman" w:hAnsi="Times New Roman" w:cs="Times New Roman"/>
                <w:b/>
                <w:bCs/>
                <w:color w:val="auto"/>
                <w:highlight w:val="none"/>
                <w:lang w:val="en-US" w:eastAsia="zh-CN"/>
              </w:rPr>
              <w:t>类型</w:t>
            </w:r>
          </w:p>
        </w:tc>
        <w:tc>
          <w:tcPr>
            <w:tcW w:w="8173"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eastAsia" w:ascii="Times New Roman" w:hAnsi="Times New Roman" w:cs="Times New Roman"/>
                <w:color w:val="auto"/>
                <w:szCs w:val="21"/>
                <w:highlight w:val="none"/>
                <w:lang w:val="en-US" w:eastAsia="zh-CN"/>
              </w:rPr>
              <w:t>闸</w:t>
            </w:r>
            <w:r>
              <w:rPr>
                <w:rFonts w:hint="default"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eastAsia" w:ascii="Times New Roman" w:hAnsi="Times New Roman" w:cs="Times New Roman"/>
                <w:color w:val="auto"/>
                <w:szCs w:val="21"/>
                <w:highlight w:val="none"/>
                <w:lang w:val="en-US" w:eastAsia="zh-CN"/>
              </w:rPr>
              <w:t>坝</w:t>
            </w:r>
            <w:r>
              <w:rPr>
                <w:rFonts w:hint="default"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eastAsia" w:ascii="Times New Roman" w:hAnsi="Times New Roman" w:cs="Times New Roman"/>
                <w:color w:val="auto"/>
                <w:szCs w:val="21"/>
                <w:highlight w:val="none"/>
                <w:lang w:val="en-US" w:eastAsia="zh-CN"/>
              </w:rPr>
              <w:t xml:space="preserve">渠道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rPr>
              <w:sym w:font="Wingdings" w:char="00A8"/>
            </w:r>
            <w:r>
              <w:rPr>
                <w:rFonts w:hint="eastAsia" w:ascii="Times New Roman" w:hAnsi="Times New Roman" w:cs="Times New Roman"/>
                <w:color w:val="auto"/>
                <w:szCs w:val="21"/>
                <w:highlight w:val="none"/>
                <w:lang w:val="en-US" w:eastAsia="zh-CN"/>
              </w:rPr>
              <w:t xml:space="preserve">虹吸管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eastAsia" w:ascii="Times New Roman" w:hAnsi="Times New Roman" w:cs="Times New Roman"/>
                <w:color w:val="auto"/>
                <w:szCs w:val="21"/>
                <w:highlight w:val="none"/>
                <w:lang w:val="en-US" w:eastAsia="zh-CN"/>
              </w:rPr>
              <w:t xml:space="preserve">水电站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eastAsia" w:ascii="Times New Roman" w:hAnsi="Times New Roman" w:cs="Times New Roman"/>
                <w:color w:val="auto"/>
                <w:szCs w:val="21"/>
                <w:highlight w:val="none"/>
                <w:lang w:val="en-US" w:eastAsia="zh-CN"/>
              </w:rPr>
              <w:t xml:space="preserve">水泵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其他</w:t>
            </w:r>
          </w:p>
        </w:tc>
      </w:tr>
      <w:tr>
        <w:tblPrEx>
          <w:tblCellMar>
            <w:top w:w="0" w:type="dxa"/>
            <w:left w:w="0" w:type="dxa"/>
            <w:bottom w:w="0" w:type="dxa"/>
            <w:right w:w="0" w:type="dxa"/>
          </w:tblCellMar>
        </w:tblPrEx>
        <w:trPr>
          <w:trHeight w:val="5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b/>
                <w:bCs/>
                <w:color w:val="auto"/>
                <w:kern w:val="2"/>
                <w:sz w:val="21"/>
                <w:highlight w:val="none"/>
                <w:lang w:val="en-US" w:eastAsia="zh-CN" w:bidi="ar-SA"/>
              </w:rPr>
            </w:pPr>
            <w:r>
              <w:rPr>
                <w:rFonts w:hint="default" w:ascii="Times New Roman" w:hAnsi="Times New Roman" w:cs="Times New Roman"/>
                <w:b/>
                <w:bCs/>
                <w:color w:val="auto"/>
                <w:highlight w:val="none"/>
                <w:lang w:val="en-US" w:eastAsia="zh-CN"/>
              </w:rPr>
              <w:t>用途</w:t>
            </w:r>
          </w:p>
        </w:tc>
        <w:tc>
          <w:tcPr>
            <w:tcW w:w="8173"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jc w:val="center"/>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 xml:space="preserve">灌溉 </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 xml:space="preserve">供水 </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景观</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发电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其他</w:t>
            </w:r>
          </w:p>
        </w:tc>
      </w:tr>
      <w:tr>
        <w:tblPrEx>
          <w:tblCellMar>
            <w:top w:w="0" w:type="dxa"/>
            <w:left w:w="0" w:type="dxa"/>
            <w:bottom w:w="0" w:type="dxa"/>
            <w:right w:w="0" w:type="dxa"/>
          </w:tblCellMar>
        </w:tblPrEx>
        <w:trPr>
          <w:trHeight w:val="1029" w:hRule="atLeast"/>
          <w:jc w:val="center"/>
        </w:trPr>
        <w:tc>
          <w:tcPr>
            <w:tcW w:w="121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ascii="宋体" w:hAnsi="宋体"/>
                <w:b/>
                <w:bCs/>
                <w:color w:val="auto"/>
                <w:kern w:val="0"/>
                <w:szCs w:val="21"/>
                <w:highlight w:val="none"/>
              </w:rPr>
            </w:pPr>
            <w:r>
              <w:rPr>
                <w:rFonts w:hint="eastAsia" w:ascii="宋体" w:hAnsi="宋体"/>
                <w:b/>
                <w:bCs/>
                <w:color w:val="auto"/>
                <w:kern w:val="0"/>
                <w:szCs w:val="21"/>
                <w:highlight w:val="none"/>
                <w:lang w:eastAsia="zh-CN"/>
              </w:rPr>
              <w:t>是否与其他村集体经济组织共有</w:t>
            </w:r>
          </w:p>
        </w:tc>
        <w:tc>
          <w:tcPr>
            <w:tcW w:w="155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42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sym w:font="Wingdings" w:char="00A8"/>
            </w:r>
            <w:r>
              <w:rPr>
                <w:rFonts w:hint="eastAsia" w:ascii="宋体" w:hAnsi="宋体"/>
                <w:color w:val="auto"/>
                <w:szCs w:val="21"/>
                <w:highlight w:val="none"/>
                <w:lang w:eastAsia="zh-CN"/>
              </w:rPr>
              <w:t>是</w:t>
            </w:r>
            <w:r>
              <w:rPr>
                <w:rFonts w:hint="eastAsia" w:ascii="宋体" w:hAnsi="宋体"/>
                <w:color w:val="auto"/>
                <w:szCs w:val="21"/>
                <w:highlight w:val="none"/>
              </w:rPr>
              <w:t xml:space="preserve"> </w:t>
            </w:r>
            <w:r>
              <w:rPr>
                <w:rFonts w:ascii="宋体" w:hAnsi="宋体"/>
                <w:color w:val="auto"/>
                <w:szCs w:val="21"/>
                <w:highlight w:val="none"/>
              </w:rPr>
              <w:sym w:font="Wingdings" w:char="00A8"/>
            </w:r>
            <w:r>
              <w:rPr>
                <w:rFonts w:hint="eastAsia" w:ascii="宋体" w:hAnsi="宋体"/>
                <w:color w:val="auto"/>
                <w:szCs w:val="21"/>
                <w:highlight w:val="none"/>
                <w:lang w:eastAsia="zh-CN"/>
              </w:rPr>
              <w:t>否</w:t>
            </w:r>
          </w:p>
        </w:tc>
        <w:tc>
          <w:tcPr>
            <w:tcW w:w="1679"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r>
              <w:rPr>
                <w:rFonts w:hint="eastAsia" w:ascii="宋体" w:hAnsi="宋体"/>
                <w:b/>
                <w:bCs/>
                <w:color w:val="auto"/>
                <w:szCs w:val="21"/>
                <w:highlight w:val="none"/>
                <w:lang w:eastAsia="zh-CN"/>
              </w:rPr>
              <w:t>共有人名称及用水权份额</w:t>
            </w:r>
            <w:r>
              <w:rPr>
                <w:rFonts w:hint="eastAsia" w:ascii="宋体" w:hAnsi="宋体"/>
                <w:b/>
                <w:bCs/>
                <w:color w:val="auto"/>
                <w:szCs w:val="21"/>
                <w:highlight w:val="none"/>
                <w:lang w:val="en-US" w:eastAsia="zh-CN"/>
              </w:rPr>
              <w:t>(</w:t>
            </w:r>
            <w:r>
              <w:rPr>
                <w:rFonts w:hint="default" w:ascii="Times New Roman" w:hAnsi="Times New Roman" w:cs="Times New Roman"/>
                <w:color w:val="auto"/>
                <w:highlight w:val="none"/>
                <w:lang w:val="en-US" w:eastAsia="zh-CN"/>
              </w:rPr>
              <w:t>万</w:t>
            </w:r>
            <w:r>
              <w:rPr>
                <w:rFonts w:hint="default" w:ascii="Times New Roman" w:hAnsi="Times New Roman" w:cs="Times New Roman"/>
                <w:color w:val="auto"/>
                <w:kern w:val="0"/>
                <w:szCs w:val="21"/>
                <w:highlight w:val="none"/>
                <w:lang w:val="en-US" w:eastAsia="zh-CN"/>
              </w:rPr>
              <w:t>m</w:t>
            </w:r>
            <w:r>
              <w:rPr>
                <w:rFonts w:hint="default" w:ascii="Times New Roman" w:hAnsi="Times New Roman" w:cs="Times New Roman"/>
                <w:color w:val="auto"/>
                <w:kern w:val="0"/>
                <w:szCs w:val="21"/>
                <w:highlight w:val="none"/>
                <w:vertAlign w:val="superscript"/>
                <w:lang w:val="en-US" w:eastAsia="zh-CN"/>
              </w:rPr>
              <w:t>3</w:t>
            </w:r>
            <w:r>
              <w:rPr>
                <w:rFonts w:hint="eastAsia" w:ascii="宋体" w:hAnsi="宋体"/>
                <w:b/>
                <w:bCs/>
                <w:color w:val="auto"/>
                <w:szCs w:val="21"/>
                <w:highlight w:val="none"/>
                <w:lang w:val="en-US" w:eastAsia="zh-CN"/>
              </w:rPr>
              <w:t>)</w:t>
            </w:r>
          </w:p>
        </w:tc>
        <w:tc>
          <w:tcPr>
            <w:tcW w:w="494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共有人1(盖章)：</w:t>
            </w:r>
          </w:p>
        </w:tc>
      </w:tr>
      <w:tr>
        <w:tblPrEx>
          <w:tblCellMar>
            <w:top w:w="0" w:type="dxa"/>
            <w:left w:w="0" w:type="dxa"/>
            <w:bottom w:w="0" w:type="dxa"/>
            <w:right w:w="0" w:type="dxa"/>
          </w:tblCellMar>
        </w:tblPrEx>
        <w:trPr>
          <w:trHeight w:val="933" w:hRule="atLeast"/>
          <w:jc w:val="center"/>
        </w:trPr>
        <w:tc>
          <w:tcPr>
            <w:tcW w:w="1211" w:type="dxa"/>
            <w:vMerge w:val="continue"/>
            <w:tcBorders>
              <w:left w:val="single" w:color="000000" w:sz="4" w:space="0"/>
              <w:right w:val="single" w:color="000000" w:sz="4" w:space="0"/>
            </w:tcBorders>
            <w:noWrap/>
            <w:tcMar>
              <w:top w:w="12" w:type="dxa"/>
              <w:left w:w="12" w:type="dxa"/>
              <w:right w:w="12" w:type="dxa"/>
            </w:tcMar>
            <w:vAlign w:val="center"/>
          </w:tcPr>
          <w:p>
            <w:pPr>
              <w:spacing w:line="420" w:lineRule="exact"/>
              <w:rPr>
                <w:color w:val="auto"/>
                <w:highlight w:val="none"/>
              </w:rPr>
            </w:pPr>
          </w:p>
        </w:tc>
        <w:tc>
          <w:tcPr>
            <w:tcW w:w="1552" w:type="dxa"/>
            <w:vMerge w:val="continue"/>
            <w:tcBorders>
              <w:left w:val="single" w:color="000000" w:sz="4" w:space="0"/>
              <w:right w:val="single" w:color="000000" w:sz="4" w:space="0"/>
            </w:tcBorders>
            <w:noWrap/>
            <w:tcMar>
              <w:top w:w="12" w:type="dxa"/>
              <w:left w:w="12" w:type="dxa"/>
              <w:right w:w="12" w:type="dxa"/>
            </w:tcMar>
            <w:vAlign w:val="center"/>
          </w:tcPr>
          <w:p>
            <w:pPr>
              <w:spacing w:line="420" w:lineRule="exact"/>
              <w:rPr>
                <w:color w:val="auto"/>
                <w:highlight w:val="none"/>
              </w:rPr>
            </w:pPr>
          </w:p>
        </w:tc>
        <w:tc>
          <w:tcPr>
            <w:tcW w:w="1679" w:type="dxa"/>
            <w:vMerge w:val="continue"/>
            <w:tcBorders>
              <w:left w:val="single" w:color="000000" w:sz="4" w:space="0"/>
              <w:right w:val="single" w:color="000000" w:sz="4" w:space="0"/>
            </w:tcBorders>
            <w:noWrap/>
            <w:tcMar>
              <w:top w:w="12" w:type="dxa"/>
              <w:left w:w="12" w:type="dxa"/>
              <w:right w:w="12" w:type="dxa"/>
            </w:tcMar>
            <w:vAlign w:val="center"/>
          </w:tcPr>
          <w:p>
            <w:pPr>
              <w:spacing w:line="420" w:lineRule="exact"/>
              <w:rPr>
                <w:color w:val="auto"/>
                <w:highlight w:val="none"/>
              </w:rPr>
            </w:pPr>
          </w:p>
        </w:tc>
        <w:tc>
          <w:tcPr>
            <w:tcW w:w="494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共有人2(盖章)：</w:t>
            </w:r>
          </w:p>
        </w:tc>
      </w:tr>
      <w:tr>
        <w:tblPrEx>
          <w:tblCellMar>
            <w:top w:w="0" w:type="dxa"/>
            <w:left w:w="0" w:type="dxa"/>
            <w:bottom w:w="0" w:type="dxa"/>
            <w:right w:w="0" w:type="dxa"/>
          </w:tblCellMar>
        </w:tblPrEx>
        <w:trPr>
          <w:trHeight w:val="993" w:hRule="atLeast"/>
          <w:jc w:val="center"/>
        </w:trPr>
        <w:tc>
          <w:tcPr>
            <w:tcW w:w="1211" w:type="dxa"/>
            <w:vMerge w:val="continue"/>
            <w:tcBorders>
              <w:left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p>
        </w:tc>
        <w:tc>
          <w:tcPr>
            <w:tcW w:w="1552" w:type="dxa"/>
            <w:vMerge w:val="continue"/>
            <w:tcBorders>
              <w:left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p>
        </w:tc>
        <w:tc>
          <w:tcPr>
            <w:tcW w:w="1679" w:type="dxa"/>
            <w:vMerge w:val="continue"/>
            <w:tcBorders>
              <w:left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p>
        </w:tc>
        <w:tc>
          <w:tcPr>
            <w:tcW w:w="494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共有人3(盖章)：</w:t>
            </w:r>
          </w:p>
        </w:tc>
      </w:tr>
      <w:tr>
        <w:tblPrEx>
          <w:tblCellMar>
            <w:top w:w="0" w:type="dxa"/>
            <w:left w:w="0" w:type="dxa"/>
            <w:bottom w:w="0" w:type="dxa"/>
            <w:right w:w="0" w:type="dxa"/>
          </w:tblCellMar>
        </w:tblPrEx>
        <w:trPr>
          <w:trHeight w:val="1505" w:hRule="atLeast"/>
          <w:jc w:val="center"/>
        </w:trPr>
        <w:tc>
          <w:tcPr>
            <w:tcW w:w="938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both"/>
              <w:textAlignment w:val="center"/>
              <w:rPr>
                <w:rFonts w:hint="eastAsia" w:ascii="宋体" w:hAnsi="宋体"/>
                <w:color w:val="auto"/>
                <w:szCs w:val="21"/>
                <w:highlight w:val="none"/>
                <w:lang w:eastAsia="zh-CN"/>
              </w:rPr>
            </w:pPr>
          </w:p>
          <w:p>
            <w:pPr>
              <w:widowControl/>
              <w:spacing w:line="420" w:lineRule="exact"/>
              <w:jc w:val="both"/>
              <w:textAlignment w:val="center"/>
              <w:rPr>
                <w:rFonts w:hint="eastAsia" w:ascii="宋体" w:hAnsi="宋体"/>
                <w:color w:val="auto"/>
                <w:szCs w:val="21"/>
                <w:highlight w:val="none"/>
              </w:rPr>
            </w:pPr>
          </w:p>
          <w:p>
            <w:pPr>
              <w:widowControl/>
              <w:spacing w:line="420" w:lineRule="exact"/>
              <w:ind w:firstLine="1470" w:firstLineChars="700"/>
              <w:jc w:val="both"/>
              <w:textAlignment w:val="center"/>
              <w:rPr>
                <w:rFonts w:hint="default" w:ascii="宋体" w:hAnsi="宋体"/>
                <w:color w:val="auto"/>
                <w:szCs w:val="21"/>
                <w:highlight w:val="none"/>
                <w:lang w:val="en-US"/>
              </w:rPr>
            </w:pPr>
            <w:r>
              <w:rPr>
                <w:rFonts w:hint="eastAsia" w:ascii="宋体" w:hAnsi="宋体"/>
                <w:color w:val="auto"/>
                <w:szCs w:val="21"/>
                <w:highlight w:val="none"/>
                <w:lang w:eastAsia="zh-CN"/>
              </w:rPr>
              <w:t>申请人（盖章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法定代表人（签字）</w:t>
            </w:r>
          </w:p>
          <w:p>
            <w:pPr>
              <w:widowControl/>
              <w:spacing w:line="420" w:lineRule="exact"/>
              <w:jc w:val="center"/>
              <w:textAlignment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tc>
      </w:tr>
      <w:tr>
        <w:tblPrEx>
          <w:tblCellMar>
            <w:top w:w="0" w:type="dxa"/>
            <w:left w:w="0" w:type="dxa"/>
            <w:bottom w:w="0" w:type="dxa"/>
            <w:right w:w="0" w:type="dxa"/>
          </w:tblCellMar>
        </w:tblPrEx>
        <w:trPr>
          <w:trHeight w:val="1521" w:hRule="atLeast"/>
          <w:jc w:val="center"/>
        </w:trPr>
        <w:tc>
          <w:tcPr>
            <w:tcW w:w="276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20" w:lineRule="exact"/>
              <w:jc w:val="center"/>
              <w:textAlignment w:val="center"/>
              <w:rPr>
                <w:rFonts w:ascii="宋体" w:hAnsi="宋体"/>
                <w:b/>
                <w:bCs/>
                <w:color w:val="auto"/>
                <w:kern w:val="0"/>
                <w:szCs w:val="21"/>
                <w:highlight w:val="none"/>
              </w:rPr>
            </w:pPr>
            <w:r>
              <w:rPr>
                <w:rFonts w:hint="eastAsia" w:ascii="宋体" w:hAnsi="宋体"/>
                <w:b/>
                <w:bCs/>
                <w:color w:val="auto"/>
                <w:kern w:val="0"/>
                <w:szCs w:val="21"/>
                <w:highlight w:val="none"/>
                <w:lang w:eastAsia="zh-CN"/>
              </w:rPr>
              <w:t>申请人所在</w:t>
            </w:r>
            <w:r>
              <w:rPr>
                <w:rFonts w:hint="eastAsia" w:ascii="宋体" w:hAnsi="宋体"/>
                <w:b/>
                <w:bCs/>
                <w:color w:val="auto"/>
                <w:kern w:val="0"/>
                <w:szCs w:val="21"/>
                <w:highlight w:val="none"/>
              </w:rPr>
              <w:t>乡镇（街道）</w:t>
            </w:r>
          </w:p>
          <w:p>
            <w:pPr>
              <w:widowControl/>
              <w:spacing w:line="420" w:lineRule="exact"/>
              <w:jc w:val="center"/>
              <w:textAlignment w:val="center"/>
              <w:rPr>
                <w:rFonts w:ascii="宋体" w:hAnsi="宋体"/>
                <w:b/>
                <w:bCs/>
                <w:color w:val="auto"/>
                <w:szCs w:val="21"/>
                <w:highlight w:val="none"/>
              </w:rPr>
            </w:pPr>
            <w:r>
              <w:rPr>
                <w:rFonts w:hint="eastAsia" w:ascii="宋体" w:hAnsi="宋体"/>
                <w:b/>
                <w:bCs/>
                <w:color w:val="auto"/>
                <w:kern w:val="0"/>
                <w:szCs w:val="21"/>
                <w:highlight w:val="none"/>
              </w:rPr>
              <w:t>审核意见</w:t>
            </w:r>
          </w:p>
        </w:tc>
        <w:tc>
          <w:tcPr>
            <w:tcW w:w="662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420" w:lineRule="exact"/>
              <w:jc w:val="center"/>
              <w:rPr>
                <w:rFonts w:ascii="宋体" w:hAnsi="宋体"/>
                <w:color w:val="auto"/>
                <w:szCs w:val="21"/>
                <w:highlight w:val="none"/>
              </w:rPr>
            </w:pPr>
          </w:p>
          <w:p>
            <w:pPr>
              <w:spacing w:line="420" w:lineRule="exact"/>
              <w:jc w:val="both"/>
              <w:rPr>
                <w:rFonts w:ascii="宋体" w:hAnsi="宋体"/>
                <w:color w:val="auto"/>
                <w:szCs w:val="21"/>
                <w:highlight w:val="none"/>
              </w:rPr>
            </w:pPr>
          </w:p>
          <w:p>
            <w:pPr>
              <w:spacing w:line="420" w:lineRule="exact"/>
              <w:jc w:val="right"/>
              <w:rPr>
                <w:rFonts w:ascii="宋体" w:hAnsi="宋体"/>
                <w:color w:val="auto"/>
                <w:szCs w:val="21"/>
                <w:highlight w:val="none"/>
              </w:rPr>
            </w:pPr>
          </w:p>
          <w:p>
            <w:pPr>
              <w:spacing w:line="420" w:lineRule="exact"/>
              <w:jc w:val="center"/>
              <w:rPr>
                <w:rFonts w:ascii="宋体" w:hAnsi="宋体"/>
                <w:color w:val="auto"/>
                <w:szCs w:val="21"/>
                <w:highlight w:val="none"/>
              </w:rPr>
            </w:pPr>
            <w:r>
              <w:rPr>
                <w:rFonts w:hint="eastAsia" w:ascii="宋体" w:hAnsi="宋体"/>
                <w:color w:val="auto"/>
                <w:szCs w:val="21"/>
                <w:highlight w:val="none"/>
              </w:rPr>
              <w:t xml:space="preserve">                            签字（盖章）      年    月    日</w:t>
            </w:r>
          </w:p>
        </w:tc>
      </w:tr>
    </w:tbl>
    <w:p>
      <w:pPr>
        <w:pStyle w:val="14"/>
        <w:spacing w:line="400" w:lineRule="exact"/>
        <w:jc w:val="left"/>
        <w:rPr>
          <w:color w:val="auto"/>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同一水库（塘）用水权</w:t>
      </w:r>
      <w:r>
        <w:rPr>
          <w:rFonts w:hint="eastAsia" w:ascii="宋体" w:hAnsi="宋体"/>
          <w:color w:val="auto"/>
          <w:szCs w:val="21"/>
          <w:highlight w:val="none"/>
        </w:rPr>
        <w:t>涉及多个</w:t>
      </w:r>
      <w:r>
        <w:rPr>
          <w:rFonts w:hint="eastAsia" w:ascii="宋体" w:hAnsi="宋体"/>
          <w:color w:val="auto"/>
          <w:szCs w:val="21"/>
          <w:highlight w:val="none"/>
          <w:lang w:eastAsia="zh-CN"/>
        </w:rPr>
        <w:t>村集体组织的</w:t>
      </w:r>
      <w:r>
        <w:rPr>
          <w:rFonts w:hint="eastAsia" w:ascii="宋体" w:hAnsi="宋体"/>
          <w:color w:val="auto"/>
          <w:szCs w:val="21"/>
          <w:highlight w:val="none"/>
        </w:rPr>
        <w:t>，</w:t>
      </w:r>
      <w:r>
        <w:rPr>
          <w:rFonts w:hint="eastAsia" w:ascii="宋体" w:hAnsi="宋体"/>
          <w:color w:val="auto"/>
          <w:szCs w:val="21"/>
          <w:highlight w:val="none"/>
          <w:lang w:eastAsia="zh-CN"/>
        </w:rPr>
        <w:t>在共同协商达成一致意见的基础上（形成带章的文字材料），</w:t>
      </w:r>
      <w:r>
        <w:rPr>
          <w:rFonts w:hint="eastAsia" w:ascii="宋体" w:hAnsi="宋体"/>
          <w:color w:val="auto"/>
          <w:szCs w:val="21"/>
          <w:highlight w:val="none"/>
        </w:rPr>
        <w:t>由各申请人</w:t>
      </w:r>
      <w:r>
        <w:rPr>
          <w:rFonts w:hint="eastAsia" w:ascii="宋体" w:hAnsi="宋体"/>
          <w:color w:val="auto"/>
          <w:szCs w:val="21"/>
          <w:highlight w:val="none"/>
          <w:lang w:eastAsia="zh-CN"/>
        </w:rPr>
        <w:t>（村集体组织）</w:t>
      </w:r>
      <w:r>
        <w:rPr>
          <w:rFonts w:hint="eastAsia" w:ascii="宋体" w:hAnsi="宋体"/>
          <w:color w:val="auto"/>
          <w:szCs w:val="21"/>
          <w:highlight w:val="none"/>
        </w:rPr>
        <w:t>所在上一级乡镇（街道）</w:t>
      </w:r>
      <w:r>
        <w:rPr>
          <w:rFonts w:hint="eastAsia" w:ascii="宋体" w:hAnsi="宋体"/>
          <w:color w:val="auto"/>
          <w:szCs w:val="21"/>
          <w:highlight w:val="none"/>
          <w:lang w:eastAsia="zh-CN"/>
        </w:rPr>
        <w:t>分别</w:t>
      </w:r>
      <w:r>
        <w:rPr>
          <w:rFonts w:hint="eastAsia" w:ascii="宋体" w:hAnsi="宋体"/>
          <w:color w:val="auto"/>
          <w:szCs w:val="21"/>
          <w:highlight w:val="none"/>
        </w:rPr>
        <w:t>出具审核意见</w:t>
      </w:r>
      <w:r>
        <w:rPr>
          <w:rFonts w:hint="eastAsia" w:ascii="宋体" w:hAnsi="宋体"/>
          <w:color w:val="auto"/>
          <w:szCs w:val="21"/>
          <w:highlight w:val="none"/>
          <w:lang w:eastAsia="zh-CN"/>
        </w:rPr>
        <w:t>后，同步向县（市、区）水利局提出申请</w:t>
      </w:r>
      <w:r>
        <w:rPr>
          <w:rFonts w:hint="eastAsia" w:ascii="宋体" w:hAnsi="宋体"/>
          <w:color w:val="auto"/>
          <w:szCs w:val="21"/>
          <w:highlight w:val="none"/>
        </w:rPr>
        <w:t>。</w:t>
      </w:r>
    </w:p>
    <w:p>
      <w:pPr>
        <w:rPr>
          <w:color w:val="auto"/>
          <w:highlight w:val="none"/>
        </w:rPr>
      </w:pPr>
    </w:p>
    <w:p>
      <w:pPr>
        <w:pStyle w:val="6"/>
        <w:rPr>
          <w:rFonts w:hint="eastAsia"/>
          <w:lang w:val="en-US" w:eastAsia="zh-CN"/>
        </w:rPr>
      </w:pPr>
    </w:p>
    <w:p>
      <w:pPr>
        <w:pStyle w:val="6"/>
        <w:rPr>
          <w:rFonts w:hint="eastAsia"/>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3000">
    <w:panose1 w:val="02000500000000000000"/>
    <w:charset w:val="86"/>
    <w:family w:val="auto"/>
    <w:pitch w:val="default"/>
    <w:sig w:usb0="800002BF" w:usb1="18CF7CF8"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4B68C"/>
    <w:multiLevelType w:val="singleLevel"/>
    <w:tmpl w:val="7414B6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OTVhNmZhZTQ5NzA3OWU0ZGM5YmYwMzYyYmJiNTgifQ=="/>
  </w:docVars>
  <w:rsids>
    <w:rsidRoot w:val="476A3DB9"/>
    <w:rsid w:val="04321155"/>
    <w:rsid w:val="08346AAF"/>
    <w:rsid w:val="0A7940E3"/>
    <w:rsid w:val="0C110017"/>
    <w:rsid w:val="0D7D27E6"/>
    <w:rsid w:val="135F249A"/>
    <w:rsid w:val="14701050"/>
    <w:rsid w:val="158A5980"/>
    <w:rsid w:val="1A9B2A5A"/>
    <w:rsid w:val="1D5A7B73"/>
    <w:rsid w:val="1FD8E89C"/>
    <w:rsid w:val="20CB7BB3"/>
    <w:rsid w:val="214F1CCD"/>
    <w:rsid w:val="22AB4846"/>
    <w:rsid w:val="257A5937"/>
    <w:rsid w:val="25B54640"/>
    <w:rsid w:val="27433AD4"/>
    <w:rsid w:val="2A0E71B3"/>
    <w:rsid w:val="2A5D08D3"/>
    <w:rsid w:val="2BC15E40"/>
    <w:rsid w:val="2D9720CC"/>
    <w:rsid w:val="2E3B2697"/>
    <w:rsid w:val="2F4B2717"/>
    <w:rsid w:val="31156A38"/>
    <w:rsid w:val="31F27D28"/>
    <w:rsid w:val="32922C9A"/>
    <w:rsid w:val="34774492"/>
    <w:rsid w:val="3897A681"/>
    <w:rsid w:val="38E17D33"/>
    <w:rsid w:val="396DE37B"/>
    <w:rsid w:val="3D7E4D5C"/>
    <w:rsid w:val="3D9F5810"/>
    <w:rsid w:val="3F2006FA"/>
    <w:rsid w:val="3F855542"/>
    <w:rsid w:val="3FD333F7"/>
    <w:rsid w:val="3FDC5FE3"/>
    <w:rsid w:val="4161721B"/>
    <w:rsid w:val="424375E8"/>
    <w:rsid w:val="4279766F"/>
    <w:rsid w:val="43130631"/>
    <w:rsid w:val="43A832EA"/>
    <w:rsid w:val="44EF4A02"/>
    <w:rsid w:val="46034A7A"/>
    <w:rsid w:val="476A3DB9"/>
    <w:rsid w:val="47EF7A54"/>
    <w:rsid w:val="4A1E0BF3"/>
    <w:rsid w:val="4E9251C8"/>
    <w:rsid w:val="533B1282"/>
    <w:rsid w:val="53FFA119"/>
    <w:rsid w:val="56271F84"/>
    <w:rsid w:val="571A60BC"/>
    <w:rsid w:val="57285193"/>
    <w:rsid w:val="578B2C5E"/>
    <w:rsid w:val="5D2B1193"/>
    <w:rsid w:val="5DFC689D"/>
    <w:rsid w:val="5EA65043"/>
    <w:rsid w:val="5EDFDED3"/>
    <w:rsid w:val="5EFB396D"/>
    <w:rsid w:val="5F37E06D"/>
    <w:rsid w:val="5FB6289F"/>
    <w:rsid w:val="5FEC93D8"/>
    <w:rsid w:val="63A02054"/>
    <w:rsid w:val="63FAF6C6"/>
    <w:rsid w:val="654330A5"/>
    <w:rsid w:val="65EDE3FF"/>
    <w:rsid w:val="6611365F"/>
    <w:rsid w:val="67FE1EA5"/>
    <w:rsid w:val="67FF5E58"/>
    <w:rsid w:val="685E574C"/>
    <w:rsid w:val="6BEF465A"/>
    <w:rsid w:val="6BFFD08F"/>
    <w:rsid w:val="6C502932"/>
    <w:rsid w:val="6CC8EC26"/>
    <w:rsid w:val="6F736899"/>
    <w:rsid w:val="6FBDE9B1"/>
    <w:rsid w:val="6FEC2F62"/>
    <w:rsid w:val="6FFD220D"/>
    <w:rsid w:val="7023062D"/>
    <w:rsid w:val="718B3AF0"/>
    <w:rsid w:val="73DB34BE"/>
    <w:rsid w:val="74936A27"/>
    <w:rsid w:val="75F7D0FF"/>
    <w:rsid w:val="764131E2"/>
    <w:rsid w:val="76FF991D"/>
    <w:rsid w:val="777EEE95"/>
    <w:rsid w:val="77AE3618"/>
    <w:rsid w:val="77EF4716"/>
    <w:rsid w:val="79FBA408"/>
    <w:rsid w:val="7A975170"/>
    <w:rsid w:val="7BCD518A"/>
    <w:rsid w:val="7BEE5047"/>
    <w:rsid w:val="7C333071"/>
    <w:rsid w:val="7D77E71C"/>
    <w:rsid w:val="7DFDEC10"/>
    <w:rsid w:val="7DFFF2CB"/>
    <w:rsid w:val="7E7EF609"/>
    <w:rsid w:val="7EB87CBB"/>
    <w:rsid w:val="7ED9E39A"/>
    <w:rsid w:val="7F7F4B0C"/>
    <w:rsid w:val="7FFD1892"/>
    <w:rsid w:val="7FFFEC28"/>
    <w:rsid w:val="837F8DB2"/>
    <w:rsid w:val="87385A28"/>
    <w:rsid w:val="97FE49BD"/>
    <w:rsid w:val="9D4B5CFF"/>
    <w:rsid w:val="9F6F007D"/>
    <w:rsid w:val="A4A7B086"/>
    <w:rsid w:val="ABF89696"/>
    <w:rsid w:val="AEEE4B8F"/>
    <w:rsid w:val="AFFF07DC"/>
    <w:rsid w:val="BA7B23C6"/>
    <w:rsid w:val="BE338A9F"/>
    <w:rsid w:val="BEE2BDB3"/>
    <w:rsid w:val="BF7FC6D7"/>
    <w:rsid w:val="BFD75F8A"/>
    <w:rsid w:val="BFEF6867"/>
    <w:rsid w:val="C7EDF71C"/>
    <w:rsid w:val="C89FA780"/>
    <w:rsid w:val="CBFEA9FB"/>
    <w:rsid w:val="CEAFFBDB"/>
    <w:rsid w:val="DDF23F88"/>
    <w:rsid w:val="DDFE36E3"/>
    <w:rsid w:val="DFBA2C48"/>
    <w:rsid w:val="DFFF7926"/>
    <w:rsid w:val="E3FA91C5"/>
    <w:rsid w:val="E7FA5B1E"/>
    <w:rsid w:val="EAB6679F"/>
    <w:rsid w:val="ECFF337F"/>
    <w:rsid w:val="EDDF58D9"/>
    <w:rsid w:val="EE7B4C57"/>
    <w:rsid w:val="EFBD4519"/>
    <w:rsid w:val="F27D02D5"/>
    <w:rsid w:val="F37F7375"/>
    <w:rsid w:val="F3FC54F0"/>
    <w:rsid w:val="F5EB8432"/>
    <w:rsid w:val="F6BBAB79"/>
    <w:rsid w:val="F76FAAFE"/>
    <w:rsid w:val="F7778FD8"/>
    <w:rsid w:val="F7FB96CF"/>
    <w:rsid w:val="FAC13B6B"/>
    <w:rsid w:val="FADF7600"/>
    <w:rsid w:val="FBB7D949"/>
    <w:rsid w:val="FBC35AC9"/>
    <w:rsid w:val="FBDBAB35"/>
    <w:rsid w:val="FBFE256A"/>
    <w:rsid w:val="FCFF9A62"/>
    <w:rsid w:val="FD3D4BAA"/>
    <w:rsid w:val="FE734873"/>
    <w:rsid w:val="FE7F94C4"/>
    <w:rsid w:val="FEE903DC"/>
    <w:rsid w:val="FF2A9794"/>
    <w:rsid w:val="FF3FFD9B"/>
    <w:rsid w:val="FF65A174"/>
    <w:rsid w:val="FF65BBDA"/>
    <w:rsid w:val="FFFD60C5"/>
    <w:rsid w:val="FFFF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1"/>
      <w:szCs w:val="24"/>
      <w:lang w:val="en-US" w:eastAsia="zh-CN" w:bidi="ar-SA"/>
    </w:rPr>
  </w:style>
  <w:style w:type="paragraph" w:styleId="7">
    <w:name w:val="heading 1"/>
    <w:basedOn w:val="1"/>
    <w:next w:val="1"/>
    <w:qFormat/>
    <w:uiPriority w:val="0"/>
    <w:pPr>
      <w:keepNext/>
      <w:keepLines/>
      <w:spacing w:beforeLines="0" w:beforeAutospacing="0" w:afterLines="0" w:afterAutospacing="0" w:line="360" w:lineRule="auto"/>
      <w:ind w:firstLine="0" w:firstLineChars="0"/>
      <w:outlineLvl w:val="0"/>
    </w:pPr>
    <w:rPr>
      <w:rFonts w:eastAsia="黑体"/>
      <w:b/>
      <w:kern w:val="44"/>
      <w:sz w:val="36"/>
      <w:szCs w:val="22"/>
    </w:rPr>
  </w:style>
  <w:style w:type="paragraph" w:styleId="8">
    <w:name w:val="heading 2"/>
    <w:basedOn w:val="1"/>
    <w:next w:val="1"/>
    <w:unhideWhenUsed/>
    <w:qFormat/>
    <w:uiPriority w:val="0"/>
    <w:pPr>
      <w:keepNext/>
      <w:keepLines/>
      <w:spacing w:beforeAutospacing="0" w:afterAutospacing="0" w:line="360" w:lineRule="auto"/>
      <w:jc w:val="left"/>
      <w:outlineLvl w:val="1"/>
    </w:pPr>
    <w:rPr>
      <w:rFonts w:ascii="Arial" w:hAnsi="Arial" w:eastAsia="黑体"/>
      <w:b/>
      <w:sz w:val="32"/>
    </w:rPr>
  </w:style>
  <w:style w:type="paragraph" w:styleId="9">
    <w:name w:val="heading 3"/>
    <w:basedOn w:val="1"/>
    <w:next w:val="1"/>
    <w:unhideWhenUsed/>
    <w:qFormat/>
    <w:uiPriority w:val="0"/>
    <w:pPr>
      <w:keepNext/>
      <w:keepLines/>
      <w:spacing w:beforeLines="0" w:beforeAutospacing="0" w:afterLines="0" w:afterAutospacing="0" w:line="360" w:lineRule="auto"/>
      <w:ind w:firstLine="600" w:firstLineChars="200"/>
      <w:outlineLvl w:val="2"/>
    </w:pPr>
    <w:rPr>
      <w:rFonts w:eastAsia="黑体"/>
      <w:b/>
      <w:sz w:val="30"/>
    </w:rPr>
  </w:style>
  <w:style w:type="paragraph" w:styleId="10">
    <w:name w:val="heading 4"/>
    <w:basedOn w:val="1"/>
    <w:next w:val="1"/>
    <w:unhideWhenUsed/>
    <w:qFormat/>
    <w:uiPriority w:val="0"/>
    <w:pPr>
      <w:keepNext/>
      <w:keepLines/>
      <w:spacing w:beforeLines="0" w:beforeAutospacing="0" w:afterLines="0" w:afterAutospacing="0" w:line="360" w:lineRule="auto"/>
      <w:ind w:firstLine="600" w:firstLineChars="200"/>
      <w:outlineLvl w:val="3"/>
    </w:pPr>
    <w:rPr>
      <w:rFonts w:ascii="Arial" w:hAnsi="Arial" w:eastAsia="宋体"/>
      <w:sz w:val="24"/>
    </w:rPr>
  </w:style>
  <w:style w:type="paragraph" w:styleId="11">
    <w:name w:val="heading 5"/>
    <w:basedOn w:val="1"/>
    <w:next w:val="1"/>
    <w:unhideWhenUsed/>
    <w:qFormat/>
    <w:uiPriority w:val="0"/>
    <w:pPr>
      <w:keepNext/>
      <w:keepLines/>
      <w:spacing w:beforeLines="0" w:beforeAutospacing="0" w:afterLines="0" w:afterAutospacing="0" w:line="360" w:lineRule="auto"/>
      <w:ind w:firstLine="600" w:firstLineChars="200"/>
      <w:outlineLvl w:val="4"/>
    </w:pPr>
    <w:rPr>
      <w:rFonts w:eastAsia="等线" w:asciiTheme="minorAscii" w:hAnsiTheme="minorAscii"/>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pPr>
  </w:style>
  <w:style w:type="paragraph" w:styleId="3">
    <w:name w:val="Body Text Indent"/>
    <w:basedOn w:val="1"/>
    <w:next w:val="4"/>
    <w:qFormat/>
    <w:uiPriority w:val="0"/>
    <w:pPr>
      <w:spacing w:line="560" w:lineRule="exact"/>
      <w:ind w:left="0" w:leftChars="0" w:firstLine="880" w:firstLineChars="200"/>
    </w:pPr>
    <w:rPr>
      <w:rFonts w:ascii="宋体" w:hAnsi="宋体" w:eastAsia="方正仿宋_GBK" w:cs="宋体"/>
      <w:sz w:val="32"/>
      <w:szCs w:val="22"/>
    </w:rPr>
  </w:style>
  <w:style w:type="paragraph" w:styleId="4">
    <w:name w:val="Normal Indent"/>
    <w:basedOn w:val="1"/>
    <w:next w:val="5"/>
    <w:qFormat/>
    <w:uiPriority w:val="0"/>
    <w:pPr>
      <w:ind w:firstLine="567"/>
    </w:pPr>
  </w:style>
  <w:style w:type="paragraph" w:customStyle="1" w:styleId="5">
    <w:name w:val="正文 + + 首行缩进:  2 字符 + 首行缩进:  2 字符 + 首行缩进:  2 字符...1"/>
    <w:basedOn w:val="1"/>
    <w:qFormat/>
    <w:uiPriority w:val="0"/>
    <w:pPr>
      <w:widowControl/>
      <w:spacing w:after="200"/>
      <w:jc w:val="left"/>
    </w:pPr>
    <w:rPr>
      <w:rFonts w:ascii="Calibri" w:eastAsia="宋体"/>
      <w:color w:val="000000"/>
      <w:kern w:val="0"/>
      <w:sz w:val="22"/>
      <w:lang w:eastAsia="en-US" w:bidi="en-US"/>
    </w:rPr>
  </w:style>
  <w:style w:type="paragraph" w:styleId="6">
    <w:name w:val="Body Text"/>
    <w:basedOn w:val="1"/>
    <w:next w:val="2"/>
    <w:qFormat/>
    <w:uiPriority w:val="0"/>
    <w:pPr>
      <w:spacing w:after="120" w:afterLines="0" w:afterAutospacing="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6"/>
    <w:next w:val="1"/>
    <w:qFormat/>
    <w:uiPriority w:val="0"/>
    <w:pPr>
      <w:ind w:firstLine="600" w:firstLineChars="200"/>
    </w:pPr>
    <w:rPr>
      <w:rFonts w:ascii="Times New Roman" w:hAnsi="Times New Roman" w:eastAsia="方正仿宋_GBK"/>
      <w:sz w:val="28"/>
    </w:rPr>
  </w:style>
  <w:style w:type="paragraph" w:customStyle="1" w:styleId="17">
    <w:name w:val="表名"/>
    <w:basedOn w:val="1"/>
    <w:qFormat/>
    <w:uiPriority w:val="0"/>
    <w:pPr>
      <w:outlineLvl w:val="4"/>
    </w:pPr>
    <w:rPr>
      <w:rFonts w:ascii="宋体" w:hAnsi="宋体" w:eastAsia="黑体" w:cs="宋体"/>
      <w:kern w:val="0"/>
      <w:sz w:val="21"/>
    </w:rPr>
  </w:style>
  <w:style w:type="paragraph" w:customStyle="1" w:styleId="18">
    <w:name w:val="表内"/>
    <w:basedOn w:val="1"/>
    <w:qFormat/>
    <w:uiPriority w:val="0"/>
    <w:pPr>
      <w:spacing w:line="240" w:lineRule="auto"/>
    </w:pPr>
    <w:rPr>
      <w:rFonts w:ascii="Times New Roman" w:hAnsi="Times New Roman" w:cs="宋体"/>
    </w:rPr>
  </w:style>
  <w:style w:type="paragraph" w:customStyle="1" w:styleId="19">
    <w:name w:val="图名"/>
    <w:basedOn w:val="1"/>
    <w:qFormat/>
    <w:uiPriority w:val="0"/>
    <w:rPr>
      <w:rFonts w:ascii="宋体" w:hAnsi="宋体" w:eastAsia="黑体" w:cs="宋体"/>
      <w:kern w:val="0"/>
      <w:sz w:val="21"/>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3143</Words>
  <Characters>3169</Characters>
  <Lines>1</Lines>
  <Paragraphs>1</Paragraphs>
  <TotalTime>1</TotalTime>
  <ScaleCrop>false</ScaleCrop>
  <LinksUpToDate>false</LinksUpToDate>
  <CharactersWithSpaces>3177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2024-02-08T02:53:00Z</dcterms:created>
  <dc:creator>haoyun2018peng</dc:creator>
  <cp:lastModifiedBy>翁思思</cp:lastModifiedBy>
  <cp:lastPrinted>2024-08-20T02:07:00Z</cp:lastPrinted>
  <dcterms:modified xsi:type="dcterms:W3CDTF">2025-07-31T11:17:28Z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AED44C01EECE4021B10AB680A422FDD8</vt:lpwstr>
  </property>
  <property fmtid="{D5CDD505-2E9C-101B-9397-08002B2CF9AE}" pid="4" name="KSOTemplateDocerSaveRecord">
    <vt:lpwstr>eyJoZGlkIjoiYTI4M2VkMzIyODdhZTk4ZThjNDdlYjg3MGYzZDVmODMiLCJ1c2VySWQiOiIzNDE3MTA1ODkifQ==</vt:lpwstr>
  </property>
</Properties>
</file>